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黑体" w:cs="Times New Roman"/>
          <w:sz w:val="52"/>
          <w:szCs w:val="52"/>
        </w:rPr>
      </w:pPr>
      <w:bookmarkStart w:id="0" w:name="_Hlk65770654"/>
      <w:bookmarkEnd w:id="0"/>
    </w:p>
    <w:p>
      <w:pPr>
        <w:jc w:val="center"/>
        <w:rPr>
          <w:rFonts w:ascii="Times New Roman" w:hAnsi="Times New Roman" w:eastAsia="黑体" w:cs="Times New Roman"/>
          <w:sz w:val="52"/>
          <w:szCs w:val="52"/>
        </w:rPr>
      </w:pPr>
    </w:p>
    <w:p>
      <w:pPr>
        <w:jc w:val="center"/>
        <w:rPr>
          <w:rFonts w:ascii="Times New Roman" w:hAnsi="Times New Roman" w:eastAsia="黑体" w:cs="Times New Roman"/>
          <w:sz w:val="52"/>
          <w:szCs w:val="52"/>
        </w:rPr>
      </w:pPr>
    </w:p>
    <w:p>
      <w:pPr>
        <w:jc w:val="center"/>
        <w:rPr>
          <w:rFonts w:ascii="Times New Roman" w:hAnsi="Times New Roman" w:eastAsia="黑体" w:cs="Times New Roman"/>
          <w:b/>
          <w:bCs/>
          <w:sz w:val="52"/>
          <w:szCs w:val="52"/>
        </w:rPr>
      </w:pPr>
      <w:r>
        <w:rPr>
          <w:rFonts w:hint="eastAsia" w:ascii="Times New Roman" w:hAnsi="Times New Roman" w:eastAsia="黑体" w:cs="Times New Roman"/>
          <w:b/>
          <w:bCs/>
          <w:sz w:val="52"/>
          <w:szCs w:val="52"/>
        </w:rPr>
        <w:t>南京市建邺区江心洲街道等街道</w:t>
      </w:r>
    </w:p>
    <w:p>
      <w:pPr>
        <w:jc w:val="center"/>
        <w:rPr>
          <w:rFonts w:ascii="Times New Roman" w:hAnsi="Times New Roman" w:eastAsia="黑体" w:cs="Times New Roman"/>
          <w:b/>
          <w:bCs/>
          <w:sz w:val="52"/>
          <w:szCs w:val="52"/>
        </w:rPr>
      </w:pPr>
      <w:r>
        <w:rPr>
          <w:rFonts w:ascii="Times New Roman" w:hAnsi="Times New Roman" w:eastAsia="黑体" w:cs="Times New Roman"/>
          <w:b/>
          <w:bCs/>
          <w:sz w:val="52"/>
          <w:szCs w:val="52"/>
        </w:rPr>
        <w:t>国土空间规划近期实施方案</w:t>
      </w: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宋体" w:cs="Times New Roman"/>
          <w:b/>
          <w:bCs/>
          <w:kern w:val="0"/>
          <w:sz w:val="32"/>
          <w:szCs w:val="32"/>
        </w:rPr>
      </w:pPr>
      <w:r>
        <w:rPr>
          <w:rFonts w:hint="eastAsia" w:ascii="Times New Roman" w:hAnsi="Times New Roman" w:eastAsia="宋体" w:cs="Times New Roman"/>
          <w:b/>
          <w:bCs/>
          <w:kern w:val="0"/>
          <w:sz w:val="32"/>
          <w:szCs w:val="32"/>
        </w:rPr>
        <w:t>南京市建邺区人民政府</w:t>
      </w:r>
    </w:p>
    <w:p>
      <w:pPr>
        <w:jc w:val="center"/>
        <w:rPr>
          <w:rFonts w:ascii="Times New Roman" w:hAnsi="Times New Roman" w:eastAsia="宋体" w:cs="Times New Roman"/>
          <w:b/>
          <w:bCs/>
          <w:kern w:val="0"/>
          <w:sz w:val="32"/>
          <w:szCs w:val="32"/>
        </w:rPr>
      </w:pPr>
      <w:r>
        <w:rPr>
          <w:rFonts w:hint="eastAsia" w:ascii="Times New Roman" w:hAnsi="Times New Roman" w:eastAsia="宋体" w:cs="Times New Roman"/>
          <w:b/>
          <w:bCs/>
          <w:kern w:val="0"/>
          <w:sz w:val="32"/>
          <w:szCs w:val="32"/>
        </w:rPr>
        <w:t>二〇二一年四</w:t>
      </w:r>
      <w:r>
        <w:rPr>
          <w:rFonts w:ascii="Times New Roman" w:hAnsi="Times New Roman" w:eastAsia="宋体" w:cs="Times New Roman"/>
          <w:b/>
          <w:bCs/>
          <w:kern w:val="0"/>
          <w:sz w:val="32"/>
          <w:szCs w:val="32"/>
        </w:rPr>
        <w:t>月</w:t>
      </w:r>
    </w:p>
    <w:p>
      <w:pPr>
        <w:jc w:val="center"/>
        <w:rPr>
          <w:rFonts w:ascii="Times New Roman" w:hAnsi="Times New Roman" w:eastAsia="黑体" w:cs="Times New Roman"/>
          <w:sz w:val="52"/>
          <w:szCs w:val="52"/>
        </w:rPr>
        <w:sectPr>
          <w:footerReference r:id="rId4" w:type="default"/>
          <w:pgSz w:w="11906" w:h="16838"/>
          <w:pgMar w:top="1440" w:right="1800" w:bottom="1440" w:left="1800" w:header="851" w:footer="992" w:gutter="0"/>
          <w:pgNumType w:start="1"/>
          <w:cols w:space="425" w:num="1"/>
          <w:docGrid w:type="lines" w:linePitch="312" w:charSpace="0"/>
        </w:sectPr>
      </w:pPr>
    </w:p>
    <w:p>
      <w:pPr>
        <w:jc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前 言</w:t>
      </w:r>
    </w:p>
    <w:p>
      <w:pPr>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14:textFill>
            <w14:solidFill>
              <w14:schemeClr w14:val="tx1"/>
            </w14:solidFill>
          </w14:textFill>
        </w:rPr>
        <w:t>为切实做好近期国土空间规划实施管理，依据《土地管理法》《</w:t>
      </w:r>
      <w:r>
        <w:rPr>
          <w:rFonts w:hint="eastAsia" w:ascii="Times New Roman" w:hAnsi="Times New Roman" w:eastAsia="仿宋" w:cs="Times New Roman"/>
          <w:color w:val="000000" w:themeColor="text1"/>
          <w:sz w:val="32"/>
          <w:szCs w:val="32"/>
          <w:lang w:eastAsia="zh-CN"/>
          <w14:textFill>
            <w14:solidFill>
              <w14:schemeClr w14:val="tx1"/>
            </w14:solidFill>
          </w14:textFill>
        </w:rPr>
        <w:t>中华人民共和国</w:t>
      </w:r>
      <w:bookmarkStart w:id="48" w:name="_GoBack"/>
      <w:bookmarkEnd w:id="48"/>
      <w:r>
        <w:rPr>
          <w:rFonts w:hint="eastAsia" w:ascii="Times New Roman" w:hAnsi="Times New Roman" w:eastAsia="仿宋" w:cs="Times New Roman"/>
          <w:color w:val="000000" w:themeColor="text1"/>
          <w:sz w:val="32"/>
          <w:szCs w:val="32"/>
          <w14:textFill>
            <w14:solidFill>
              <w14:schemeClr w14:val="tx1"/>
            </w14:solidFill>
          </w14:textFill>
        </w:rPr>
        <w:t>城乡规划法》《自然资源部关于全面开展国土空间规划工作的通知》</w:t>
      </w:r>
      <w:r>
        <w:rPr>
          <w:rFonts w:ascii="Times New Roman" w:hAnsi="Times New Roman" w:eastAsia="仿宋" w:cs="Times New Roman"/>
          <w:color w:val="000000" w:themeColor="text1"/>
          <w:sz w:val="32"/>
          <w:szCs w:val="32"/>
          <w14:textFill>
            <w14:solidFill>
              <w14:schemeClr w14:val="tx1"/>
            </w14:solidFill>
          </w14:textFill>
        </w:rPr>
        <w:t>(自然资发〔2019〕87号)、《自然资源部关于做好近期国土空间规划有关工作的通知》(自然资发〔2020〕183号)、《江苏省自然资源厅关于加强近期国土空间规划实施管理的通知》(苏自然资发〔2020〕213号)等规定以及现行国土空间规划，开展矛盾图斑一致性处理，优化布局存量空间规模，落实预支空间规模指标、追加流量指标</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color w:val="000000" w:themeColor="text1"/>
          <w:sz w:val="32"/>
          <w:szCs w:val="32"/>
          <w14:textFill>
            <w14:solidFill>
              <w14:schemeClr w14:val="tx1"/>
            </w14:solidFill>
          </w14:textFill>
        </w:rPr>
        <w:t>三条控制线</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color w:val="000000" w:themeColor="text1"/>
          <w:sz w:val="32"/>
          <w:szCs w:val="32"/>
          <w14:textFill>
            <w14:solidFill>
              <w14:schemeClr w14:val="tx1"/>
            </w14:solidFill>
          </w14:textFill>
        </w:rPr>
        <w:t>等国土空间规划相关刚性管控要求，与正在编制的国土空间规划及</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color w:val="000000" w:themeColor="text1"/>
          <w:sz w:val="32"/>
          <w:szCs w:val="32"/>
          <w14:textFill>
            <w14:solidFill>
              <w14:schemeClr w14:val="tx1"/>
            </w14:solidFill>
          </w14:textFill>
        </w:rPr>
        <w:t>十</w:t>
      </w:r>
      <w:r>
        <w:rPr>
          <w:rFonts w:hint="eastAsia" w:ascii="Times New Roman" w:hAnsi="Times New Roman" w:eastAsia="仿宋" w:cs="Times New Roman"/>
          <w:color w:val="000000" w:themeColor="text1"/>
          <w:sz w:val="32"/>
          <w:szCs w:val="32"/>
          <w14:textFill>
            <w14:solidFill>
              <w14:schemeClr w14:val="tx1"/>
            </w14:solidFill>
          </w14:textFill>
        </w:rPr>
        <w:t>四五”规划相衔接，形成南京市建邺区江心洲街道等街道</w:t>
      </w:r>
      <w:r>
        <w:rPr>
          <w:rFonts w:ascii="Times New Roman" w:hAnsi="Times New Roman" w:eastAsia="仿宋" w:cs="Times New Roman"/>
          <w:color w:val="000000" w:themeColor="text1"/>
          <w:sz w:val="32"/>
          <w:szCs w:val="32"/>
          <w14:textFill>
            <w14:solidFill>
              <w14:schemeClr w14:val="tx1"/>
            </w14:solidFill>
          </w14:textFill>
        </w:rPr>
        <w:t>土地利用总体规划，作为国土空间规划近期实施方案，报省政府同意后施行，并纳入正在编制的国土空间总体规划。</w:t>
      </w:r>
    </w:p>
    <w:p>
      <w:pPr>
        <w:ind w:firstLine="560" w:firstLineChars="200"/>
        <w:rPr>
          <w:rFonts w:ascii="Times New Roman" w:hAnsi="Times New Roman" w:eastAsia="仿宋" w:cs="Times New Roman"/>
          <w:kern w:val="0"/>
          <w:sz w:val="28"/>
          <w:szCs w:val="32"/>
        </w:rPr>
      </w:pPr>
    </w:p>
    <w:p>
      <w:pPr>
        <w:jc w:val="center"/>
        <w:rPr>
          <w:rFonts w:ascii="Times New Roman" w:hAnsi="Times New Roman" w:eastAsia="黑体" w:cs="Times New Roman"/>
          <w:sz w:val="52"/>
          <w:szCs w:val="52"/>
        </w:rPr>
        <w:sectPr>
          <w:pgSz w:w="11906" w:h="16838"/>
          <w:pgMar w:top="1440" w:right="1800" w:bottom="1440" w:left="1800" w:header="851" w:footer="992" w:gutter="0"/>
          <w:pgNumType w:start="1"/>
          <w:cols w:space="425" w:num="1"/>
          <w:docGrid w:type="lines" w:linePitch="312" w:charSpace="0"/>
        </w:sectPr>
      </w:pPr>
    </w:p>
    <w:sdt>
      <w:sdtPr>
        <w:rPr>
          <w:rFonts w:asciiTheme="minorHAnsi" w:hAnsiTheme="minorHAnsi" w:eastAsiaTheme="minorEastAsia" w:cstheme="minorBidi"/>
          <w:b w:val="0"/>
          <w:bCs w:val="0"/>
          <w:color w:val="auto"/>
          <w:sz w:val="32"/>
          <w:szCs w:val="32"/>
          <w:lang w:val="zh-CN"/>
        </w:rPr>
        <w:id w:val="2050870055"/>
        <w:docPartObj>
          <w:docPartGallery w:val="Table of Contents"/>
          <w:docPartUnique/>
        </w:docPartObj>
      </w:sdtPr>
      <w:sdtEndPr>
        <w:rPr>
          <w:rFonts w:ascii="Times New Roman" w:hAnsi="Times New Roman" w:eastAsiaTheme="minorEastAsia" w:cstheme="minorBidi"/>
          <w:b/>
          <w:bCs/>
          <w:color w:val="auto"/>
          <w:sz w:val="24"/>
          <w:szCs w:val="28"/>
          <w:lang w:val="zh-CN"/>
        </w:rPr>
      </w:sdtEndPr>
      <w:sdtContent>
        <w:p>
          <w:pPr>
            <w:pStyle w:val="29"/>
            <w:jc w:val="center"/>
            <w:rPr>
              <w:rFonts w:ascii="黑体" w:hAnsi="黑体" w:eastAsia="黑体"/>
              <w:b w:val="0"/>
              <w:bCs w:val="0"/>
              <w:color w:val="auto"/>
              <w:sz w:val="32"/>
              <w:szCs w:val="32"/>
              <w:lang w:val="zh-CN"/>
            </w:rPr>
          </w:pPr>
          <w:r>
            <w:rPr>
              <w:rFonts w:ascii="黑体" w:hAnsi="黑体" w:eastAsia="黑体"/>
              <w:b w:val="0"/>
              <w:bCs w:val="0"/>
              <w:color w:val="auto"/>
              <w:sz w:val="32"/>
              <w:szCs w:val="32"/>
              <w:lang w:val="zh-CN"/>
            </w:rPr>
            <w:t>目 录</w:t>
          </w:r>
        </w:p>
        <w:p>
          <w:pPr>
            <w:pStyle w:val="9"/>
            <w:rPr>
              <w:rFonts w:eastAsia="仿宋" w:cs="Times New Roman"/>
              <w:b w:val="0"/>
              <w:bCs w:val="0"/>
              <w:kern w:val="2"/>
              <w:sz w:val="24"/>
              <w:szCs w:val="28"/>
            </w:rPr>
          </w:pPr>
          <w:r>
            <w:rPr>
              <w:rFonts w:eastAsia="仿宋" w:cs="Times New Roman"/>
              <w:b w:val="0"/>
              <w:bCs w:val="0"/>
              <w:sz w:val="36"/>
              <w:szCs w:val="36"/>
            </w:rPr>
            <w:fldChar w:fldCharType="begin"/>
          </w:r>
          <w:r>
            <w:rPr>
              <w:rFonts w:eastAsia="仿宋" w:cs="Times New Roman"/>
              <w:b w:val="0"/>
              <w:bCs w:val="0"/>
              <w:sz w:val="36"/>
              <w:szCs w:val="36"/>
            </w:rPr>
            <w:instrText xml:space="preserve"> TOC \o "1-3" \h \z \u </w:instrText>
          </w:r>
          <w:r>
            <w:rPr>
              <w:rFonts w:eastAsia="仿宋" w:cs="Times New Roman"/>
              <w:b w:val="0"/>
              <w:bCs w:val="0"/>
              <w:sz w:val="36"/>
              <w:szCs w:val="36"/>
            </w:rPr>
            <w:fldChar w:fldCharType="separate"/>
          </w:r>
          <w:r>
            <w:fldChar w:fldCharType="begin"/>
          </w:r>
          <w:r>
            <w:instrText xml:space="preserve"> HYPERLINK \l "_Toc68214188" </w:instrText>
          </w:r>
          <w:r>
            <w:fldChar w:fldCharType="separate"/>
          </w:r>
          <w:r>
            <w:rPr>
              <w:rStyle w:val="16"/>
              <w:rFonts w:eastAsia="仿宋" w:cs="Times New Roman"/>
              <w:b w:val="0"/>
              <w:bCs w:val="0"/>
              <w:sz w:val="28"/>
              <w:szCs w:val="32"/>
            </w:rPr>
            <w:t>1 基本情况</w:t>
          </w:r>
          <w:r>
            <w:rPr>
              <w:rFonts w:eastAsia="仿宋" w:cs="Times New Roman"/>
              <w:b w:val="0"/>
              <w:bCs w:val="0"/>
              <w:sz w:val="28"/>
              <w:szCs w:val="32"/>
            </w:rPr>
            <w:tab/>
          </w:r>
          <w:r>
            <w:rPr>
              <w:rFonts w:eastAsia="仿宋" w:cs="Times New Roman"/>
              <w:b w:val="0"/>
              <w:bCs w:val="0"/>
              <w:sz w:val="28"/>
              <w:szCs w:val="32"/>
            </w:rPr>
            <w:fldChar w:fldCharType="begin"/>
          </w:r>
          <w:r>
            <w:rPr>
              <w:rFonts w:eastAsia="仿宋" w:cs="Times New Roman"/>
              <w:b w:val="0"/>
              <w:bCs w:val="0"/>
              <w:sz w:val="28"/>
              <w:szCs w:val="32"/>
            </w:rPr>
            <w:instrText xml:space="preserve"> PAGEREF _Toc68214188 \h </w:instrText>
          </w:r>
          <w:r>
            <w:rPr>
              <w:rFonts w:eastAsia="仿宋" w:cs="Times New Roman"/>
              <w:b w:val="0"/>
              <w:bCs w:val="0"/>
              <w:sz w:val="28"/>
              <w:szCs w:val="32"/>
            </w:rPr>
            <w:fldChar w:fldCharType="separate"/>
          </w:r>
          <w:r>
            <w:rPr>
              <w:rFonts w:eastAsia="仿宋" w:cs="Times New Roman"/>
              <w:b w:val="0"/>
              <w:bCs w:val="0"/>
              <w:sz w:val="28"/>
              <w:szCs w:val="32"/>
            </w:rPr>
            <w:t>1</w:t>
          </w:r>
          <w:r>
            <w:rPr>
              <w:rFonts w:eastAsia="仿宋" w:cs="Times New Roman"/>
              <w:b w:val="0"/>
              <w:bCs w:val="0"/>
              <w:sz w:val="28"/>
              <w:szCs w:val="32"/>
            </w:rPr>
            <w:fldChar w:fldCharType="end"/>
          </w:r>
          <w:r>
            <w:rPr>
              <w:rFonts w:eastAsia="仿宋" w:cs="Times New Roman"/>
              <w:b w:val="0"/>
              <w:bCs w:val="0"/>
              <w:sz w:val="28"/>
              <w:szCs w:val="32"/>
            </w:rPr>
            <w:fldChar w:fldCharType="end"/>
          </w:r>
        </w:p>
        <w:p>
          <w:pPr>
            <w:pStyle w:val="11"/>
            <w:rPr>
              <w:rFonts w:eastAsia="仿宋"/>
              <w:b w:val="0"/>
              <w:bCs w:val="0"/>
              <w:kern w:val="2"/>
              <w:sz w:val="24"/>
              <w:szCs w:val="28"/>
            </w:rPr>
          </w:pPr>
          <w:r>
            <w:fldChar w:fldCharType="begin"/>
          </w:r>
          <w:r>
            <w:instrText xml:space="preserve"> HYPERLINK \l "_Toc68214189" </w:instrText>
          </w:r>
          <w:r>
            <w:fldChar w:fldCharType="separate"/>
          </w:r>
          <w:r>
            <w:rPr>
              <w:rStyle w:val="16"/>
              <w:rFonts w:eastAsia="仿宋"/>
              <w:b w:val="0"/>
              <w:bCs w:val="0"/>
              <w:sz w:val="28"/>
              <w:szCs w:val="32"/>
            </w:rPr>
            <w:t>1.1 区域概况</w:t>
          </w:r>
          <w:r>
            <w:rPr>
              <w:rFonts w:eastAsia="仿宋"/>
              <w:b w:val="0"/>
              <w:bCs w:val="0"/>
              <w:sz w:val="28"/>
              <w:szCs w:val="32"/>
            </w:rPr>
            <w:tab/>
          </w:r>
          <w:r>
            <w:rPr>
              <w:rFonts w:eastAsia="仿宋"/>
              <w:b w:val="0"/>
              <w:bCs w:val="0"/>
              <w:sz w:val="28"/>
              <w:szCs w:val="32"/>
            </w:rPr>
            <w:fldChar w:fldCharType="begin"/>
          </w:r>
          <w:r>
            <w:rPr>
              <w:rFonts w:eastAsia="仿宋"/>
              <w:b w:val="0"/>
              <w:bCs w:val="0"/>
              <w:sz w:val="28"/>
              <w:szCs w:val="32"/>
            </w:rPr>
            <w:instrText xml:space="preserve"> PAGEREF _Toc68214189 \h </w:instrText>
          </w:r>
          <w:r>
            <w:rPr>
              <w:rFonts w:eastAsia="仿宋"/>
              <w:b w:val="0"/>
              <w:bCs w:val="0"/>
              <w:sz w:val="28"/>
              <w:szCs w:val="32"/>
            </w:rPr>
            <w:fldChar w:fldCharType="separate"/>
          </w:r>
          <w:r>
            <w:rPr>
              <w:rFonts w:eastAsia="仿宋"/>
              <w:b w:val="0"/>
              <w:bCs w:val="0"/>
              <w:sz w:val="28"/>
              <w:szCs w:val="32"/>
            </w:rPr>
            <w:t>1</w:t>
          </w:r>
          <w:r>
            <w:rPr>
              <w:rFonts w:eastAsia="仿宋"/>
              <w:b w:val="0"/>
              <w:bCs w:val="0"/>
              <w:sz w:val="28"/>
              <w:szCs w:val="32"/>
            </w:rPr>
            <w:fldChar w:fldCharType="end"/>
          </w:r>
          <w:r>
            <w:rPr>
              <w:rFonts w:eastAsia="仿宋"/>
              <w:b w:val="0"/>
              <w:bCs w:val="0"/>
              <w:sz w:val="28"/>
              <w:szCs w:val="32"/>
            </w:rPr>
            <w:fldChar w:fldCharType="end"/>
          </w:r>
        </w:p>
        <w:p>
          <w:pPr>
            <w:pStyle w:val="4"/>
            <w:tabs>
              <w:tab w:val="right" w:leader="dot" w:pos="8296"/>
            </w:tabs>
            <w:rPr>
              <w:rFonts w:ascii="Times New Roman" w:hAnsi="Times New Roman" w:eastAsia="仿宋" w:cs="Times New Roman"/>
              <w:kern w:val="2"/>
              <w:sz w:val="24"/>
              <w:szCs w:val="28"/>
            </w:rPr>
          </w:pPr>
          <w:r>
            <w:fldChar w:fldCharType="begin"/>
          </w:r>
          <w:r>
            <w:instrText xml:space="preserve"> HYPERLINK \l "_Toc68214190" </w:instrText>
          </w:r>
          <w:r>
            <w:fldChar w:fldCharType="separate"/>
          </w:r>
          <w:r>
            <w:rPr>
              <w:rStyle w:val="16"/>
              <w:rFonts w:ascii="Times New Roman" w:hAnsi="Times New Roman" w:eastAsia="仿宋" w:cs="Times New Roman"/>
              <w:sz w:val="28"/>
              <w:szCs w:val="28"/>
            </w:rPr>
            <w:t>1.1.1 自然地理概况</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_Toc68214190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1</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4"/>
            <w:tabs>
              <w:tab w:val="right" w:leader="dot" w:pos="8296"/>
            </w:tabs>
            <w:rPr>
              <w:rFonts w:ascii="Times New Roman" w:hAnsi="Times New Roman" w:eastAsia="仿宋" w:cs="Times New Roman"/>
              <w:kern w:val="2"/>
              <w:sz w:val="24"/>
              <w:szCs w:val="28"/>
            </w:rPr>
          </w:pPr>
          <w:r>
            <w:fldChar w:fldCharType="begin"/>
          </w:r>
          <w:r>
            <w:instrText xml:space="preserve"> HYPERLINK \l "_Toc68214191" </w:instrText>
          </w:r>
          <w:r>
            <w:fldChar w:fldCharType="separate"/>
          </w:r>
          <w:r>
            <w:rPr>
              <w:rStyle w:val="16"/>
              <w:rFonts w:ascii="Times New Roman" w:hAnsi="Times New Roman" w:eastAsia="仿宋" w:cs="Times New Roman"/>
              <w:sz w:val="28"/>
              <w:szCs w:val="28"/>
            </w:rPr>
            <w:t>1.1.2 社会经济情况</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_Toc68214191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2</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4"/>
            <w:tabs>
              <w:tab w:val="right" w:leader="dot" w:pos="8296"/>
            </w:tabs>
            <w:rPr>
              <w:rFonts w:ascii="Times New Roman" w:hAnsi="Times New Roman" w:eastAsia="仿宋" w:cs="Times New Roman"/>
              <w:kern w:val="2"/>
              <w:sz w:val="24"/>
              <w:szCs w:val="28"/>
            </w:rPr>
          </w:pPr>
          <w:r>
            <w:fldChar w:fldCharType="begin"/>
          </w:r>
          <w:r>
            <w:instrText xml:space="preserve"> HYPERLINK \l "_Toc68214192" </w:instrText>
          </w:r>
          <w:r>
            <w:fldChar w:fldCharType="separate"/>
          </w:r>
          <w:r>
            <w:rPr>
              <w:rStyle w:val="16"/>
              <w:rFonts w:ascii="Times New Roman" w:hAnsi="Times New Roman" w:eastAsia="仿宋" w:cs="Times New Roman"/>
              <w:sz w:val="28"/>
              <w:szCs w:val="28"/>
            </w:rPr>
            <w:t>1.1.3 土地利用现状</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_Toc68214192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2</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4"/>
            <w:tabs>
              <w:tab w:val="right" w:leader="dot" w:pos="8296"/>
            </w:tabs>
            <w:rPr>
              <w:rFonts w:ascii="Times New Roman" w:hAnsi="Times New Roman" w:eastAsia="仿宋" w:cs="Times New Roman"/>
              <w:kern w:val="2"/>
              <w:sz w:val="24"/>
              <w:szCs w:val="28"/>
            </w:rPr>
          </w:pPr>
          <w:r>
            <w:fldChar w:fldCharType="begin"/>
          </w:r>
          <w:r>
            <w:instrText xml:space="preserve"> HYPERLINK \l "_Toc68214193" </w:instrText>
          </w:r>
          <w:r>
            <w:fldChar w:fldCharType="separate"/>
          </w:r>
          <w:r>
            <w:rPr>
              <w:rStyle w:val="16"/>
              <w:rFonts w:ascii="Times New Roman" w:hAnsi="Times New Roman" w:eastAsia="仿宋" w:cs="Times New Roman"/>
              <w:sz w:val="28"/>
              <w:szCs w:val="28"/>
            </w:rPr>
            <w:t>1.1.4 总体空间格局</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_Toc68214193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3</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1"/>
            <w:rPr>
              <w:rFonts w:eastAsia="仿宋"/>
              <w:b w:val="0"/>
              <w:bCs w:val="0"/>
              <w:kern w:val="2"/>
              <w:sz w:val="24"/>
              <w:szCs w:val="28"/>
            </w:rPr>
          </w:pPr>
          <w:r>
            <w:fldChar w:fldCharType="begin"/>
          </w:r>
          <w:r>
            <w:instrText xml:space="preserve"> HYPERLINK \l "_Toc68214194" </w:instrText>
          </w:r>
          <w:r>
            <w:fldChar w:fldCharType="separate"/>
          </w:r>
          <w:r>
            <w:rPr>
              <w:rStyle w:val="16"/>
              <w:rFonts w:eastAsia="仿宋"/>
              <w:b w:val="0"/>
              <w:bCs w:val="0"/>
              <w:sz w:val="28"/>
              <w:szCs w:val="32"/>
            </w:rPr>
            <w:t>1.2 近期实施方案期限</w:t>
          </w:r>
          <w:r>
            <w:rPr>
              <w:rFonts w:eastAsia="仿宋"/>
              <w:b w:val="0"/>
              <w:bCs w:val="0"/>
              <w:sz w:val="28"/>
              <w:szCs w:val="32"/>
            </w:rPr>
            <w:tab/>
          </w:r>
          <w:r>
            <w:rPr>
              <w:rFonts w:eastAsia="仿宋"/>
              <w:b w:val="0"/>
              <w:bCs w:val="0"/>
              <w:sz w:val="28"/>
              <w:szCs w:val="32"/>
            </w:rPr>
            <w:fldChar w:fldCharType="begin"/>
          </w:r>
          <w:r>
            <w:rPr>
              <w:rFonts w:eastAsia="仿宋"/>
              <w:b w:val="0"/>
              <w:bCs w:val="0"/>
              <w:sz w:val="28"/>
              <w:szCs w:val="32"/>
            </w:rPr>
            <w:instrText xml:space="preserve"> PAGEREF _Toc68214194 \h </w:instrText>
          </w:r>
          <w:r>
            <w:rPr>
              <w:rFonts w:eastAsia="仿宋"/>
              <w:b w:val="0"/>
              <w:bCs w:val="0"/>
              <w:sz w:val="28"/>
              <w:szCs w:val="32"/>
            </w:rPr>
            <w:fldChar w:fldCharType="separate"/>
          </w:r>
          <w:r>
            <w:rPr>
              <w:rFonts w:eastAsia="仿宋"/>
              <w:b w:val="0"/>
              <w:bCs w:val="0"/>
              <w:sz w:val="28"/>
              <w:szCs w:val="32"/>
            </w:rPr>
            <w:t>4</w:t>
          </w:r>
          <w:r>
            <w:rPr>
              <w:rFonts w:eastAsia="仿宋"/>
              <w:b w:val="0"/>
              <w:bCs w:val="0"/>
              <w:sz w:val="28"/>
              <w:szCs w:val="32"/>
            </w:rPr>
            <w:fldChar w:fldCharType="end"/>
          </w:r>
          <w:r>
            <w:rPr>
              <w:rFonts w:eastAsia="仿宋"/>
              <w:b w:val="0"/>
              <w:bCs w:val="0"/>
              <w:sz w:val="28"/>
              <w:szCs w:val="32"/>
            </w:rPr>
            <w:fldChar w:fldCharType="end"/>
          </w:r>
        </w:p>
        <w:p>
          <w:pPr>
            <w:pStyle w:val="11"/>
            <w:rPr>
              <w:rFonts w:eastAsia="仿宋"/>
              <w:b w:val="0"/>
              <w:bCs w:val="0"/>
              <w:kern w:val="2"/>
              <w:sz w:val="24"/>
              <w:szCs w:val="28"/>
            </w:rPr>
          </w:pPr>
          <w:r>
            <w:fldChar w:fldCharType="begin"/>
          </w:r>
          <w:r>
            <w:instrText xml:space="preserve"> HYPERLINK \l "_Toc68214195" </w:instrText>
          </w:r>
          <w:r>
            <w:fldChar w:fldCharType="separate"/>
          </w:r>
          <w:r>
            <w:rPr>
              <w:rStyle w:val="16"/>
              <w:rFonts w:eastAsia="仿宋"/>
              <w:b w:val="0"/>
              <w:bCs w:val="0"/>
              <w:sz w:val="28"/>
              <w:szCs w:val="32"/>
            </w:rPr>
            <w:t>1.3 近期规划空间需求</w:t>
          </w:r>
          <w:r>
            <w:rPr>
              <w:rFonts w:eastAsia="仿宋"/>
              <w:b w:val="0"/>
              <w:bCs w:val="0"/>
              <w:sz w:val="28"/>
              <w:szCs w:val="32"/>
            </w:rPr>
            <w:tab/>
          </w:r>
          <w:r>
            <w:rPr>
              <w:rFonts w:eastAsia="仿宋"/>
              <w:b w:val="0"/>
              <w:bCs w:val="0"/>
              <w:sz w:val="28"/>
              <w:szCs w:val="32"/>
            </w:rPr>
            <w:fldChar w:fldCharType="begin"/>
          </w:r>
          <w:r>
            <w:rPr>
              <w:rFonts w:eastAsia="仿宋"/>
              <w:b w:val="0"/>
              <w:bCs w:val="0"/>
              <w:sz w:val="28"/>
              <w:szCs w:val="32"/>
            </w:rPr>
            <w:instrText xml:space="preserve"> PAGEREF _Toc68214195 \h </w:instrText>
          </w:r>
          <w:r>
            <w:rPr>
              <w:rFonts w:eastAsia="仿宋"/>
              <w:b w:val="0"/>
              <w:bCs w:val="0"/>
              <w:sz w:val="28"/>
              <w:szCs w:val="32"/>
            </w:rPr>
            <w:fldChar w:fldCharType="separate"/>
          </w:r>
          <w:r>
            <w:rPr>
              <w:rFonts w:eastAsia="仿宋"/>
              <w:b w:val="0"/>
              <w:bCs w:val="0"/>
              <w:sz w:val="28"/>
              <w:szCs w:val="32"/>
            </w:rPr>
            <w:t>4</w:t>
          </w:r>
          <w:r>
            <w:rPr>
              <w:rFonts w:eastAsia="仿宋"/>
              <w:b w:val="0"/>
              <w:bCs w:val="0"/>
              <w:sz w:val="28"/>
              <w:szCs w:val="32"/>
            </w:rPr>
            <w:fldChar w:fldCharType="end"/>
          </w:r>
          <w:r>
            <w:rPr>
              <w:rFonts w:eastAsia="仿宋"/>
              <w:b w:val="0"/>
              <w:bCs w:val="0"/>
              <w:sz w:val="28"/>
              <w:szCs w:val="32"/>
            </w:rPr>
            <w:fldChar w:fldCharType="end"/>
          </w:r>
        </w:p>
        <w:p>
          <w:pPr>
            <w:pStyle w:val="9"/>
            <w:rPr>
              <w:rFonts w:eastAsia="仿宋" w:cs="Times New Roman"/>
              <w:b w:val="0"/>
              <w:bCs w:val="0"/>
              <w:kern w:val="2"/>
              <w:sz w:val="24"/>
              <w:szCs w:val="28"/>
            </w:rPr>
          </w:pPr>
          <w:r>
            <w:fldChar w:fldCharType="begin"/>
          </w:r>
          <w:r>
            <w:instrText xml:space="preserve"> HYPERLINK \l "_Toc68214196" </w:instrText>
          </w:r>
          <w:r>
            <w:fldChar w:fldCharType="separate"/>
          </w:r>
          <w:r>
            <w:rPr>
              <w:rStyle w:val="16"/>
              <w:rFonts w:eastAsia="仿宋" w:cs="Times New Roman"/>
              <w:b w:val="0"/>
              <w:bCs w:val="0"/>
              <w:sz w:val="28"/>
              <w:szCs w:val="32"/>
            </w:rPr>
            <w:t>2近期实施方案主要内容</w:t>
          </w:r>
          <w:r>
            <w:rPr>
              <w:rFonts w:eastAsia="仿宋" w:cs="Times New Roman"/>
              <w:b w:val="0"/>
              <w:bCs w:val="0"/>
              <w:sz w:val="28"/>
              <w:szCs w:val="32"/>
            </w:rPr>
            <w:tab/>
          </w:r>
          <w:r>
            <w:rPr>
              <w:rFonts w:eastAsia="仿宋" w:cs="Times New Roman"/>
              <w:b w:val="0"/>
              <w:bCs w:val="0"/>
              <w:sz w:val="28"/>
              <w:szCs w:val="32"/>
            </w:rPr>
            <w:fldChar w:fldCharType="begin"/>
          </w:r>
          <w:r>
            <w:rPr>
              <w:rFonts w:eastAsia="仿宋" w:cs="Times New Roman"/>
              <w:b w:val="0"/>
              <w:bCs w:val="0"/>
              <w:sz w:val="28"/>
              <w:szCs w:val="32"/>
            </w:rPr>
            <w:instrText xml:space="preserve"> PAGEREF _Toc68214196 \h </w:instrText>
          </w:r>
          <w:r>
            <w:rPr>
              <w:rFonts w:eastAsia="仿宋" w:cs="Times New Roman"/>
              <w:b w:val="0"/>
              <w:bCs w:val="0"/>
              <w:sz w:val="28"/>
              <w:szCs w:val="32"/>
            </w:rPr>
            <w:fldChar w:fldCharType="separate"/>
          </w:r>
          <w:r>
            <w:rPr>
              <w:rFonts w:eastAsia="仿宋" w:cs="Times New Roman"/>
              <w:b w:val="0"/>
              <w:bCs w:val="0"/>
              <w:sz w:val="28"/>
              <w:szCs w:val="32"/>
            </w:rPr>
            <w:t>5</w:t>
          </w:r>
          <w:r>
            <w:rPr>
              <w:rFonts w:eastAsia="仿宋" w:cs="Times New Roman"/>
              <w:b w:val="0"/>
              <w:bCs w:val="0"/>
              <w:sz w:val="28"/>
              <w:szCs w:val="32"/>
            </w:rPr>
            <w:fldChar w:fldCharType="end"/>
          </w:r>
          <w:r>
            <w:rPr>
              <w:rFonts w:eastAsia="仿宋" w:cs="Times New Roman"/>
              <w:b w:val="0"/>
              <w:bCs w:val="0"/>
              <w:sz w:val="28"/>
              <w:szCs w:val="32"/>
            </w:rPr>
            <w:fldChar w:fldCharType="end"/>
          </w:r>
        </w:p>
        <w:p>
          <w:pPr>
            <w:pStyle w:val="11"/>
            <w:rPr>
              <w:rFonts w:eastAsia="仿宋"/>
              <w:b w:val="0"/>
              <w:bCs w:val="0"/>
              <w:kern w:val="2"/>
              <w:sz w:val="24"/>
              <w:szCs w:val="28"/>
            </w:rPr>
          </w:pPr>
          <w:r>
            <w:fldChar w:fldCharType="begin"/>
          </w:r>
          <w:r>
            <w:instrText xml:space="preserve"> HYPERLINK \l "_Toc68214197" </w:instrText>
          </w:r>
          <w:r>
            <w:fldChar w:fldCharType="separate"/>
          </w:r>
          <w:r>
            <w:rPr>
              <w:rStyle w:val="16"/>
              <w:rFonts w:eastAsia="仿宋"/>
              <w:b w:val="0"/>
              <w:bCs w:val="0"/>
              <w:sz w:val="28"/>
              <w:szCs w:val="32"/>
            </w:rPr>
            <w:t>2.1 指标安排</w:t>
          </w:r>
          <w:r>
            <w:rPr>
              <w:rFonts w:eastAsia="仿宋"/>
              <w:b w:val="0"/>
              <w:bCs w:val="0"/>
              <w:sz w:val="28"/>
              <w:szCs w:val="32"/>
            </w:rPr>
            <w:tab/>
          </w:r>
          <w:r>
            <w:rPr>
              <w:rFonts w:eastAsia="仿宋"/>
              <w:b w:val="0"/>
              <w:bCs w:val="0"/>
              <w:sz w:val="28"/>
              <w:szCs w:val="32"/>
            </w:rPr>
            <w:fldChar w:fldCharType="begin"/>
          </w:r>
          <w:r>
            <w:rPr>
              <w:rFonts w:eastAsia="仿宋"/>
              <w:b w:val="0"/>
              <w:bCs w:val="0"/>
              <w:sz w:val="28"/>
              <w:szCs w:val="32"/>
            </w:rPr>
            <w:instrText xml:space="preserve"> PAGEREF _Toc68214197 \h </w:instrText>
          </w:r>
          <w:r>
            <w:rPr>
              <w:rFonts w:eastAsia="仿宋"/>
              <w:b w:val="0"/>
              <w:bCs w:val="0"/>
              <w:sz w:val="28"/>
              <w:szCs w:val="32"/>
            </w:rPr>
            <w:fldChar w:fldCharType="separate"/>
          </w:r>
          <w:r>
            <w:rPr>
              <w:rFonts w:eastAsia="仿宋"/>
              <w:b w:val="0"/>
              <w:bCs w:val="0"/>
              <w:sz w:val="28"/>
              <w:szCs w:val="32"/>
            </w:rPr>
            <w:t>5</w:t>
          </w:r>
          <w:r>
            <w:rPr>
              <w:rFonts w:eastAsia="仿宋"/>
              <w:b w:val="0"/>
              <w:bCs w:val="0"/>
              <w:sz w:val="28"/>
              <w:szCs w:val="32"/>
            </w:rPr>
            <w:fldChar w:fldCharType="end"/>
          </w:r>
          <w:r>
            <w:rPr>
              <w:rFonts w:eastAsia="仿宋"/>
              <w:b w:val="0"/>
              <w:bCs w:val="0"/>
              <w:sz w:val="28"/>
              <w:szCs w:val="32"/>
            </w:rPr>
            <w:fldChar w:fldCharType="end"/>
          </w:r>
        </w:p>
        <w:p>
          <w:pPr>
            <w:pStyle w:val="4"/>
            <w:tabs>
              <w:tab w:val="right" w:leader="dot" w:pos="8296"/>
            </w:tabs>
            <w:rPr>
              <w:rFonts w:ascii="Times New Roman" w:hAnsi="Times New Roman" w:eastAsia="仿宋" w:cs="Times New Roman"/>
              <w:kern w:val="2"/>
              <w:sz w:val="24"/>
              <w:szCs w:val="28"/>
            </w:rPr>
          </w:pPr>
          <w:r>
            <w:fldChar w:fldCharType="begin"/>
          </w:r>
          <w:r>
            <w:instrText xml:space="preserve"> HYPERLINK \l "_Toc68214198" </w:instrText>
          </w:r>
          <w:r>
            <w:fldChar w:fldCharType="separate"/>
          </w:r>
          <w:r>
            <w:rPr>
              <w:rStyle w:val="16"/>
              <w:rFonts w:ascii="Times New Roman" w:hAnsi="Times New Roman" w:eastAsia="仿宋" w:cs="Times New Roman"/>
              <w:sz w:val="28"/>
              <w:szCs w:val="28"/>
            </w:rPr>
            <w:t>2.1.1 指标下达与安排</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_Toc68214198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5</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4"/>
            <w:tabs>
              <w:tab w:val="right" w:leader="dot" w:pos="8296"/>
            </w:tabs>
            <w:rPr>
              <w:rFonts w:ascii="Times New Roman" w:hAnsi="Times New Roman" w:eastAsia="仿宋" w:cs="Times New Roman"/>
              <w:kern w:val="2"/>
              <w:sz w:val="24"/>
              <w:szCs w:val="28"/>
            </w:rPr>
          </w:pPr>
          <w:r>
            <w:fldChar w:fldCharType="begin"/>
          </w:r>
          <w:r>
            <w:instrText xml:space="preserve"> HYPERLINK \l "_Toc68214199" </w:instrText>
          </w:r>
          <w:r>
            <w:fldChar w:fldCharType="separate"/>
          </w:r>
          <w:r>
            <w:rPr>
              <w:rStyle w:val="16"/>
              <w:rFonts w:ascii="Times New Roman" w:hAnsi="Times New Roman" w:eastAsia="仿宋" w:cs="Times New Roman"/>
              <w:sz w:val="28"/>
              <w:szCs w:val="28"/>
            </w:rPr>
            <w:t>2.1.2 约束性指标管控</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_Toc68214199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5</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4"/>
            <w:tabs>
              <w:tab w:val="right" w:leader="dot" w:pos="8296"/>
            </w:tabs>
            <w:rPr>
              <w:rFonts w:ascii="Times New Roman" w:hAnsi="Times New Roman" w:eastAsia="仿宋" w:cs="Times New Roman"/>
              <w:kern w:val="2"/>
              <w:sz w:val="24"/>
              <w:szCs w:val="28"/>
            </w:rPr>
          </w:pPr>
          <w:r>
            <w:fldChar w:fldCharType="begin"/>
          </w:r>
          <w:r>
            <w:instrText xml:space="preserve"> HYPERLINK \l "_Toc68214200" </w:instrText>
          </w:r>
          <w:r>
            <w:fldChar w:fldCharType="separate"/>
          </w:r>
          <w:r>
            <w:rPr>
              <w:rStyle w:val="16"/>
              <w:rFonts w:ascii="Times New Roman" w:hAnsi="Times New Roman" w:eastAsia="仿宋" w:cs="Times New Roman"/>
              <w:sz w:val="28"/>
              <w:szCs w:val="28"/>
            </w:rPr>
            <w:t>2.1.3 各街道指标安排</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_Toc68214200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6</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1"/>
            <w:rPr>
              <w:rFonts w:eastAsia="仿宋"/>
              <w:b w:val="0"/>
              <w:bCs w:val="0"/>
              <w:kern w:val="2"/>
              <w:sz w:val="24"/>
              <w:szCs w:val="28"/>
            </w:rPr>
          </w:pPr>
          <w:r>
            <w:fldChar w:fldCharType="begin"/>
          </w:r>
          <w:r>
            <w:instrText xml:space="preserve"> HYPERLINK \l "_Toc68214201" </w:instrText>
          </w:r>
          <w:r>
            <w:fldChar w:fldCharType="separate"/>
          </w:r>
          <w:r>
            <w:rPr>
              <w:rStyle w:val="16"/>
              <w:rFonts w:eastAsia="仿宋"/>
              <w:b w:val="0"/>
              <w:bCs w:val="0"/>
              <w:sz w:val="28"/>
              <w:szCs w:val="32"/>
            </w:rPr>
            <w:t>2.2 建设用地布局</w:t>
          </w:r>
          <w:r>
            <w:rPr>
              <w:rFonts w:eastAsia="仿宋"/>
              <w:b w:val="0"/>
              <w:bCs w:val="0"/>
              <w:sz w:val="28"/>
              <w:szCs w:val="32"/>
            </w:rPr>
            <w:tab/>
          </w:r>
          <w:r>
            <w:rPr>
              <w:rFonts w:eastAsia="仿宋"/>
              <w:b w:val="0"/>
              <w:bCs w:val="0"/>
              <w:sz w:val="28"/>
              <w:szCs w:val="32"/>
            </w:rPr>
            <w:fldChar w:fldCharType="begin"/>
          </w:r>
          <w:r>
            <w:rPr>
              <w:rFonts w:eastAsia="仿宋"/>
              <w:b w:val="0"/>
              <w:bCs w:val="0"/>
              <w:sz w:val="28"/>
              <w:szCs w:val="32"/>
            </w:rPr>
            <w:instrText xml:space="preserve"> PAGEREF _Toc68214201 \h </w:instrText>
          </w:r>
          <w:r>
            <w:rPr>
              <w:rFonts w:eastAsia="仿宋"/>
              <w:b w:val="0"/>
              <w:bCs w:val="0"/>
              <w:sz w:val="28"/>
              <w:szCs w:val="32"/>
            </w:rPr>
            <w:fldChar w:fldCharType="separate"/>
          </w:r>
          <w:r>
            <w:rPr>
              <w:rFonts w:eastAsia="仿宋"/>
              <w:b w:val="0"/>
              <w:bCs w:val="0"/>
              <w:sz w:val="28"/>
              <w:szCs w:val="32"/>
            </w:rPr>
            <w:t>8</w:t>
          </w:r>
          <w:r>
            <w:rPr>
              <w:rFonts w:eastAsia="仿宋"/>
              <w:b w:val="0"/>
              <w:bCs w:val="0"/>
              <w:sz w:val="28"/>
              <w:szCs w:val="32"/>
            </w:rPr>
            <w:fldChar w:fldCharType="end"/>
          </w:r>
          <w:r>
            <w:rPr>
              <w:rFonts w:eastAsia="仿宋"/>
              <w:b w:val="0"/>
              <w:bCs w:val="0"/>
              <w:sz w:val="28"/>
              <w:szCs w:val="32"/>
            </w:rPr>
            <w:fldChar w:fldCharType="end"/>
          </w:r>
        </w:p>
        <w:p>
          <w:pPr>
            <w:pStyle w:val="4"/>
            <w:tabs>
              <w:tab w:val="right" w:leader="dot" w:pos="8296"/>
            </w:tabs>
            <w:rPr>
              <w:rFonts w:ascii="Times New Roman" w:hAnsi="Times New Roman" w:eastAsia="仿宋" w:cs="Times New Roman"/>
              <w:kern w:val="2"/>
              <w:sz w:val="24"/>
              <w:szCs w:val="28"/>
            </w:rPr>
          </w:pPr>
          <w:r>
            <w:fldChar w:fldCharType="begin"/>
          </w:r>
          <w:r>
            <w:instrText xml:space="preserve"> HYPERLINK \l "_Toc68214202" </w:instrText>
          </w:r>
          <w:r>
            <w:fldChar w:fldCharType="separate"/>
          </w:r>
          <w:r>
            <w:rPr>
              <w:rStyle w:val="16"/>
              <w:rFonts w:ascii="Times New Roman" w:hAnsi="Times New Roman" w:eastAsia="仿宋" w:cs="Times New Roman"/>
              <w:sz w:val="28"/>
              <w:szCs w:val="28"/>
            </w:rPr>
            <w:t>2.2.1 新增建设用地布局</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_Toc68214202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8</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4"/>
            <w:tabs>
              <w:tab w:val="right" w:leader="dot" w:pos="8296"/>
            </w:tabs>
            <w:rPr>
              <w:rFonts w:ascii="Times New Roman" w:hAnsi="Times New Roman" w:eastAsia="仿宋" w:cs="Times New Roman"/>
              <w:kern w:val="2"/>
              <w:sz w:val="24"/>
              <w:szCs w:val="28"/>
            </w:rPr>
          </w:pPr>
          <w:r>
            <w:fldChar w:fldCharType="begin"/>
          </w:r>
          <w:r>
            <w:instrText xml:space="preserve"> HYPERLINK \l "_Toc68214203" </w:instrText>
          </w:r>
          <w:r>
            <w:fldChar w:fldCharType="separate"/>
          </w:r>
          <w:r>
            <w:rPr>
              <w:rStyle w:val="16"/>
              <w:rFonts w:ascii="Times New Roman" w:hAnsi="Times New Roman" w:eastAsia="仿宋" w:cs="Times New Roman"/>
              <w:sz w:val="28"/>
              <w:szCs w:val="28"/>
            </w:rPr>
            <w:t>2.2.2 建设用地管制区</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_Toc68214203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9</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4"/>
            <w:tabs>
              <w:tab w:val="right" w:leader="dot" w:pos="8296"/>
            </w:tabs>
            <w:rPr>
              <w:rFonts w:ascii="Times New Roman" w:hAnsi="Times New Roman" w:eastAsia="仿宋" w:cs="Times New Roman"/>
              <w:kern w:val="2"/>
              <w:sz w:val="24"/>
              <w:szCs w:val="28"/>
            </w:rPr>
          </w:pPr>
          <w:r>
            <w:fldChar w:fldCharType="begin"/>
          </w:r>
          <w:r>
            <w:instrText xml:space="preserve"> HYPERLINK \l "_Toc68214204" </w:instrText>
          </w:r>
          <w:r>
            <w:fldChar w:fldCharType="separate"/>
          </w:r>
          <w:r>
            <w:rPr>
              <w:rStyle w:val="16"/>
              <w:rFonts w:ascii="Times New Roman" w:hAnsi="Times New Roman" w:eastAsia="仿宋" w:cs="Times New Roman"/>
              <w:sz w:val="28"/>
              <w:szCs w:val="28"/>
            </w:rPr>
            <w:t>2.2.3 土地用途区</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_Toc68214204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9</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1"/>
            <w:rPr>
              <w:rFonts w:eastAsia="仿宋"/>
              <w:b w:val="0"/>
              <w:bCs w:val="0"/>
              <w:kern w:val="2"/>
              <w:sz w:val="24"/>
              <w:szCs w:val="28"/>
            </w:rPr>
          </w:pPr>
          <w:r>
            <w:fldChar w:fldCharType="begin"/>
          </w:r>
          <w:r>
            <w:instrText xml:space="preserve"> HYPERLINK \l "_Toc68214205" </w:instrText>
          </w:r>
          <w:r>
            <w:fldChar w:fldCharType="separate"/>
          </w:r>
          <w:r>
            <w:rPr>
              <w:rStyle w:val="16"/>
              <w:rFonts w:eastAsia="仿宋"/>
              <w:b w:val="0"/>
              <w:bCs w:val="0"/>
              <w:sz w:val="28"/>
              <w:szCs w:val="32"/>
            </w:rPr>
            <w:t>2.3 重点建设项目</w:t>
          </w:r>
          <w:r>
            <w:rPr>
              <w:rFonts w:eastAsia="仿宋"/>
              <w:b w:val="0"/>
              <w:bCs w:val="0"/>
              <w:sz w:val="28"/>
              <w:szCs w:val="32"/>
            </w:rPr>
            <w:tab/>
          </w:r>
          <w:r>
            <w:rPr>
              <w:rFonts w:eastAsia="仿宋"/>
              <w:b w:val="0"/>
              <w:bCs w:val="0"/>
              <w:sz w:val="28"/>
              <w:szCs w:val="32"/>
            </w:rPr>
            <w:fldChar w:fldCharType="begin"/>
          </w:r>
          <w:r>
            <w:rPr>
              <w:rFonts w:eastAsia="仿宋"/>
              <w:b w:val="0"/>
              <w:bCs w:val="0"/>
              <w:sz w:val="28"/>
              <w:szCs w:val="32"/>
            </w:rPr>
            <w:instrText xml:space="preserve"> PAGEREF _Toc68214205 \h </w:instrText>
          </w:r>
          <w:r>
            <w:rPr>
              <w:rFonts w:eastAsia="仿宋"/>
              <w:b w:val="0"/>
              <w:bCs w:val="0"/>
              <w:sz w:val="28"/>
              <w:szCs w:val="32"/>
            </w:rPr>
            <w:fldChar w:fldCharType="separate"/>
          </w:r>
          <w:r>
            <w:rPr>
              <w:rFonts w:eastAsia="仿宋"/>
              <w:b w:val="0"/>
              <w:bCs w:val="0"/>
              <w:sz w:val="28"/>
              <w:szCs w:val="32"/>
            </w:rPr>
            <w:t>9</w:t>
          </w:r>
          <w:r>
            <w:rPr>
              <w:rFonts w:eastAsia="仿宋"/>
              <w:b w:val="0"/>
              <w:bCs w:val="0"/>
              <w:sz w:val="28"/>
              <w:szCs w:val="32"/>
            </w:rPr>
            <w:fldChar w:fldCharType="end"/>
          </w:r>
          <w:r>
            <w:rPr>
              <w:rFonts w:eastAsia="仿宋"/>
              <w:b w:val="0"/>
              <w:bCs w:val="0"/>
              <w:sz w:val="28"/>
              <w:szCs w:val="32"/>
            </w:rPr>
            <w:fldChar w:fldCharType="end"/>
          </w:r>
        </w:p>
        <w:p>
          <w:pPr>
            <w:pStyle w:val="11"/>
            <w:rPr>
              <w:rFonts w:eastAsia="仿宋"/>
              <w:b w:val="0"/>
              <w:bCs w:val="0"/>
              <w:kern w:val="2"/>
              <w:sz w:val="24"/>
              <w:szCs w:val="28"/>
            </w:rPr>
          </w:pPr>
          <w:r>
            <w:fldChar w:fldCharType="begin"/>
          </w:r>
          <w:r>
            <w:instrText xml:space="preserve"> HYPERLINK \l "_Toc68214206" </w:instrText>
          </w:r>
          <w:r>
            <w:fldChar w:fldCharType="separate"/>
          </w:r>
          <w:r>
            <w:rPr>
              <w:rStyle w:val="16"/>
              <w:rFonts w:eastAsia="仿宋"/>
              <w:b w:val="0"/>
              <w:bCs w:val="0"/>
              <w:sz w:val="28"/>
              <w:szCs w:val="32"/>
            </w:rPr>
            <w:t>2.4 与相关规划成果的衔接</w:t>
          </w:r>
          <w:r>
            <w:rPr>
              <w:rFonts w:eastAsia="仿宋"/>
              <w:b w:val="0"/>
              <w:bCs w:val="0"/>
              <w:sz w:val="28"/>
              <w:szCs w:val="32"/>
            </w:rPr>
            <w:tab/>
          </w:r>
          <w:r>
            <w:rPr>
              <w:rFonts w:eastAsia="仿宋"/>
              <w:b w:val="0"/>
              <w:bCs w:val="0"/>
              <w:sz w:val="28"/>
              <w:szCs w:val="32"/>
            </w:rPr>
            <w:fldChar w:fldCharType="begin"/>
          </w:r>
          <w:r>
            <w:rPr>
              <w:rFonts w:eastAsia="仿宋"/>
              <w:b w:val="0"/>
              <w:bCs w:val="0"/>
              <w:sz w:val="28"/>
              <w:szCs w:val="32"/>
            </w:rPr>
            <w:instrText xml:space="preserve"> PAGEREF _Toc68214206 \h </w:instrText>
          </w:r>
          <w:r>
            <w:rPr>
              <w:rFonts w:eastAsia="仿宋"/>
              <w:b w:val="0"/>
              <w:bCs w:val="0"/>
              <w:sz w:val="28"/>
              <w:szCs w:val="32"/>
            </w:rPr>
            <w:fldChar w:fldCharType="separate"/>
          </w:r>
          <w:r>
            <w:rPr>
              <w:rFonts w:eastAsia="仿宋"/>
              <w:b w:val="0"/>
              <w:bCs w:val="0"/>
              <w:sz w:val="28"/>
              <w:szCs w:val="32"/>
            </w:rPr>
            <w:t>10</w:t>
          </w:r>
          <w:r>
            <w:rPr>
              <w:rFonts w:eastAsia="仿宋"/>
              <w:b w:val="0"/>
              <w:bCs w:val="0"/>
              <w:sz w:val="28"/>
              <w:szCs w:val="32"/>
            </w:rPr>
            <w:fldChar w:fldCharType="end"/>
          </w:r>
          <w:r>
            <w:rPr>
              <w:rFonts w:eastAsia="仿宋"/>
              <w:b w:val="0"/>
              <w:bCs w:val="0"/>
              <w:sz w:val="28"/>
              <w:szCs w:val="32"/>
            </w:rPr>
            <w:fldChar w:fldCharType="end"/>
          </w:r>
        </w:p>
        <w:p>
          <w:pPr>
            <w:pStyle w:val="4"/>
            <w:tabs>
              <w:tab w:val="right" w:leader="dot" w:pos="8296"/>
            </w:tabs>
            <w:rPr>
              <w:rFonts w:ascii="Times New Roman" w:hAnsi="Times New Roman" w:eastAsia="仿宋" w:cs="Times New Roman"/>
              <w:kern w:val="2"/>
              <w:sz w:val="24"/>
              <w:szCs w:val="28"/>
            </w:rPr>
          </w:pPr>
          <w:r>
            <w:fldChar w:fldCharType="begin"/>
          </w:r>
          <w:r>
            <w:instrText xml:space="preserve"> HYPERLINK \l "_Toc68214207" </w:instrText>
          </w:r>
          <w:r>
            <w:fldChar w:fldCharType="separate"/>
          </w:r>
          <w:r>
            <w:rPr>
              <w:rStyle w:val="16"/>
              <w:rFonts w:ascii="Times New Roman" w:hAnsi="Times New Roman" w:eastAsia="仿宋" w:cs="Times New Roman"/>
              <w:sz w:val="28"/>
              <w:szCs w:val="28"/>
            </w:rPr>
            <w:t>2.4.1与“三条控制线”划定成果的衔接</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_Toc68214207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10</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4"/>
            <w:tabs>
              <w:tab w:val="right" w:leader="dot" w:pos="8296"/>
            </w:tabs>
            <w:rPr>
              <w:rFonts w:ascii="Times New Roman" w:hAnsi="Times New Roman" w:eastAsia="仿宋" w:cs="Times New Roman"/>
              <w:kern w:val="2"/>
              <w:sz w:val="24"/>
              <w:szCs w:val="28"/>
            </w:rPr>
          </w:pPr>
          <w:r>
            <w:fldChar w:fldCharType="begin"/>
          </w:r>
          <w:r>
            <w:instrText xml:space="preserve"> HYPERLINK \l "_Toc68214208" </w:instrText>
          </w:r>
          <w:r>
            <w:fldChar w:fldCharType="separate"/>
          </w:r>
          <w:r>
            <w:rPr>
              <w:rStyle w:val="16"/>
              <w:rFonts w:ascii="Times New Roman" w:hAnsi="Times New Roman" w:eastAsia="仿宋" w:cs="Times New Roman"/>
              <w:sz w:val="28"/>
              <w:szCs w:val="28"/>
            </w:rPr>
            <w:t>2.4.2 与现行有效国土空间规划的衔接</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_Toc68214208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13</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4"/>
            <w:tabs>
              <w:tab w:val="right" w:leader="dot" w:pos="8296"/>
            </w:tabs>
            <w:rPr>
              <w:rFonts w:ascii="Times New Roman" w:hAnsi="Times New Roman" w:eastAsia="仿宋" w:cs="Times New Roman"/>
              <w:kern w:val="2"/>
              <w:sz w:val="24"/>
              <w:szCs w:val="28"/>
            </w:rPr>
          </w:pPr>
          <w:r>
            <w:fldChar w:fldCharType="begin"/>
          </w:r>
          <w:r>
            <w:instrText xml:space="preserve"> HYPERLINK \l "_Toc68214209" </w:instrText>
          </w:r>
          <w:r>
            <w:fldChar w:fldCharType="separate"/>
          </w:r>
          <w:r>
            <w:rPr>
              <w:rStyle w:val="16"/>
              <w:rFonts w:ascii="Times New Roman" w:hAnsi="Times New Roman" w:eastAsia="仿宋" w:cs="Times New Roman"/>
              <w:sz w:val="28"/>
              <w:szCs w:val="28"/>
            </w:rPr>
            <w:t>2.4.3 与其他相关规划的衔接</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_Toc68214209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14</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9"/>
            <w:rPr>
              <w:rFonts w:eastAsia="仿宋" w:cs="Times New Roman"/>
              <w:b w:val="0"/>
              <w:bCs w:val="0"/>
              <w:kern w:val="2"/>
              <w:sz w:val="24"/>
              <w:szCs w:val="28"/>
            </w:rPr>
          </w:pPr>
          <w:r>
            <w:fldChar w:fldCharType="begin"/>
          </w:r>
          <w:r>
            <w:instrText xml:space="preserve"> HYPERLINK \l "_Toc68214210" </w:instrText>
          </w:r>
          <w:r>
            <w:fldChar w:fldCharType="separate"/>
          </w:r>
          <w:r>
            <w:rPr>
              <w:rStyle w:val="16"/>
              <w:rFonts w:eastAsia="仿宋" w:cs="Times New Roman"/>
              <w:b w:val="0"/>
              <w:bCs w:val="0"/>
              <w:sz w:val="28"/>
              <w:szCs w:val="32"/>
            </w:rPr>
            <w:t>3 实施保障措施</w:t>
          </w:r>
          <w:r>
            <w:rPr>
              <w:rFonts w:eastAsia="仿宋" w:cs="Times New Roman"/>
              <w:b w:val="0"/>
              <w:bCs w:val="0"/>
              <w:sz w:val="28"/>
              <w:szCs w:val="32"/>
            </w:rPr>
            <w:tab/>
          </w:r>
          <w:r>
            <w:rPr>
              <w:rFonts w:eastAsia="仿宋" w:cs="Times New Roman"/>
              <w:b w:val="0"/>
              <w:bCs w:val="0"/>
              <w:sz w:val="28"/>
              <w:szCs w:val="32"/>
            </w:rPr>
            <w:fldChar w:fldCharType="begin"/>
          </w:r>
          <w:r>
            <w:rPr>
              <w:rFonts w:eastAsia="仿宋" w:cs="Times New Roman"/>
              <w:b w:val="0"/>
              <w:bCs w:val="0"/>
              <w:sz w:val="28"/>
              <w:szCs w:val="32"/>
            </w:rPr>
            <w:instrText xml:space="preserve"> PAGEREF _Toc68214210 \h </w:instrText>
          </w:r>
          <w:r>
            <w:rPr>
              <w:rFonts w:eastAsia="仿宋" w:cs="Times New Roman"/>
              <w:b w:val="0"/>
              <w:bCs w:val="0"/>
              <w:sz w:val="28"/>
              <w:szCs w:val="32"/>
            </w:rPr>
            <w:fldChar w:fldCharType="separate"/>
          </w:r>
          <w:r>
            <w:rPr>
              <w:rFonts w:eastAsia="仿宋" w:cs="Times New Roman"/>
              <w:b w:val="0"/>
              <w:bCs w:val="0"/>
              <w:sz w:val="28"/>
              <w:szCs w:val="32"/>
            </w:rPr>
            <w:t>17</w:t>
          </w:r>
          <w:r>
            <w:rPr>
              <w:rFonts w:eastAsia="仿宋" w:cs="Times New Roman"/>
              <w:b w:val="0"/>
              <w:bCs w:val="0"/>
              <w:sz w:val="28"/>
              <w:szCs w:val="32"/>
            </w:rPr>
            <w:fldChar w:fldCharType="end"/>
          </w:r>
          <w:r>
            <w:rPr>
              <w:rFonts w:eastAsia="仿宋" w:cs="Times New Roman"/>
              <w:b w:val="0"/>
              <w:bCs w:val="0"/>
              <w:sz w:val="28"/>
              <w:szCs w:val="32"/>
            </w:rPr>
            <w:fldChar w:fldCharType="end"/>
          </w:r>
        </w:p>
        <w:p>
          <w:pPr>
            <w:pStyle w:val="11"/>
            <w:rPr>
              <w:rFonts w:eastAsia="仿宋"/>
              <w:b w:val="0"/>
              <w:bCs w:val="0"/>
              <w:kern w:val="2"/>
              <w:sz w:val="24"/>
              <w:szCs w:val="28"/>
            </w:rPr>
          </w:pPr>
          <w:r>
            <w:fldChar w:fldCharType="begin"/>
          </w:r>
          <w:r>
            <w:instrText xml:space="preserve"> HYPERLINK \l "_Toc68214211" </w:instrText>
          </w:r>
          <w:r>
            <w:fldChar w:fldCharType="separate"/>
          </w:r>
          <w:r>
            <w:rPr>
              <w:rStyle w:val="16"/>
              <w:rFonts w:eastAsia="仿宋"/>
              <w:b w:val="0"/>
              <w:bCs w:val="0"/>
              <w:sz w:val="28"/>
              <w:szCs w:val="32"/>
            </w:rPr>
            <w:t>3.1 强化各项新增建设用地审查</w:t>
          </w:r>
          <w:r>
            <w:rPr>
              <w:rFonts w:eastAsia="仿宋"/>
              <w:b w:val="0"/>
              <w:bCs w:val="0"/>
              <w:sz w:val="28"/>
              <w:szCs w:val="32"/>
            </w:rPr>
            <w:tab/>
          </w:r>
          <w:r>
            <w:rPr>
              <w:rFonts w:eastAsia="仿宋"/>
              <w:b w:val="0"/>
              <w:bCs w:val="0"/>
              <w:sz w:val="28"/>
              <w:szCs w:val="32"/>
            </w:rPr>
            <w:fldChar w:fldCharType="begin"/>
          </w:r>
          <w:r>
            <w:rPr>
              <w:rFonts w:eastAsia="仿宋"/>
              <w:b w:val="0"/>
              <w:bCs w:val="0"/>
              <w:sz w:val="28"/>
              <w:szCs w:val="32"/>
            </w:rPr>
            <w:instrText xml:space="preserve"> PAGEREF _Toc68214211 \h </w:instrText>
          </w:r>
          <w:r>
            <w:rPr>
              <w:rFonts w:eastAsia="仿宋"/>
              <w:b w:val="0"/>
              <w:bCs w:val="0"/>
              <w:sz w:val="28"/>
              <w:szCs w:val="32"/>
            </w:rPr>
            <w:fldChar w:fldCharType="separate"/>
          </w:r>
          <w:r>
            <w:rPr>
              <w:rFonts w:eastAsia="仿宋"/>
              <w:b w:val="0"/>
              <w:bCs w:val="0"/>
              <w:sz w:val="28"/>
              <w:szCs w:val="32"/>
            </w:rPr>
            <w:t>17</w:t>
          </w:r>
          <w:r>
            <w:rPr>
              <w:rFonts w:eastAsia="仿宋"/>
              <w:b w:val="0"/>
              <w:bCs w:val="0"/>
              <w:sz w:val="28"/>
              <w:szCs w:val="32"/>
            </w:rPr>
            <w:fldChar w:fldCharType="end"/>
          </w:r>
          <w:r>
            <w:rPr>
              <w:rFonts w:eastAsia="仿宋"/>
              <w:b w:val="0"/>
              <w:bCs w:val="0"/>
              <w:sz w:val="28"/>
              <w:szCs w:val="32"/>
            </w:rPr>
            <w:fldChar w:fldCharType="end"/>
          </w:r>
        </w:p>
        <w:p>
          <w:pPr>
            <w:pStyle w:val="11"/>
            <w:rPr>
              <w:rFonts w:eastAsia="仿宋"/>
              <w:b w:val="0"/>
              <w:bCs w:val="0"/>
              <w:kern w:val="2"/>
              <w:sz w:val="24"/>
              <w:szCs w:val="28"/>
            </w:rPr>
          </w:pPr>
          <w:r>
            <w:fldChar w:fldCharType="begin"/>
          </w:r>
          <w:r>
            <w:instrText xml:space="preserve"> HYPERLINK \l "_Toc68214212" </w:instrText>
          </w:r>
          <w:r>
            <w:fldChar w:fldCharType="separate"/>
          </w:r>
          <w:r>
            <w:rPr>
              <w:rStyle w:val="16"/>
              <w:rFonts w:eastAsia="仿宋"/>
              <w:b w:val="0"/>
              <w:bCs w:val="0"/>
              <w:sz w:val="28"/>
              <w:szCs w:val="32"/>
            </w:rPr>
            <w:t>3.2 深入推进土地节约集约利用</w:t>
          </w:r>
          <w:r>
            <w:rPr>
              <w:rFonts w:eastAsia="仿宋"/>
              <w:b w:val="0"/>
              <w:bCs w:val="0"/>
              <w:sz w:val="28"/>
              <w:szCs w:val="32"/>
            </w:rPr>
            <w:tab/>
          </w:r>
          <w:r>
            <w:rPr>
              <w:rFonts w:eastAsia="仿宋"/>
              <w:b w:val="0"/>
              <w:bCs w:val="0"/>
              <w:sz w:val="28"/>
              <w:szCs w:val="32"/>
            </w:rPr>
            <w:fldChar w:fldCharType="begin"/>
          </w:r>
          <w:r>
            <w:rPr>
              <w:rFonts w:eastAsia="仿宋"/>
              <w:b w:val="0"/>
              <w:bCs w:val="0"/>
              <w:sz w:val="28"/>
              <w:szCs w:val="32"/>
            </w:rPr>
            <w:instrText xml:space="preserve"> PAGEREF _Toc68214212 \h </w:instrText>
          </w:r>
          <w:r>
            <w:rPr>
              <w:rFonts w:eastAsia="仿宋"/>
              <w:b w:val="0"/>
              <w:bCs w:val="0"/>
              <w:sz w:val="28"/>
              <w:szCs w:val="32"/>
            </w:rPr>
            <w:fldChar w:fldCharType="separate"/>
          </w:r>
          <w:r>
            <w:rPr>
              <w:rFonts w:eastAsia="仿宋"/>
              <w:b w:val="0"/>
              <w:bCs w:val="0"/>
              <w:sz w:val="28"/>
              <w:szCs w:val="32"/>
            </w:rPr>
            <w:t>17</w:t>
          </w:r>
          <w:r>
            <w:rPr>
              <w:rFonts w:eastAsia="仿宋"/>
              <w:b w:val="0"/>
              <w:bCs w:val="0"/>
              <w:sz w:val="28"/>
              <w:szCs w:val="32"/>
            </w:rPr>
            <w:fldChar w:fldCharType="end"/>
          </w:r>
          <w:r>
            <w:rPr>
              <w:rFonts w:eastAsia="仿宋"/>
              <w:b w:val="0"/>
              <w:bCs w:val="0"/>
              <w:sz w:val="28"/>
              <w:szCs w:val="32"/>
            </w:rPr>
            <w:fldChar w:fldCharType="end"/>
          </w:r>
        </w:p>
        <w:p>
          <w:pPr>
            <w:pStyle w:val="11"/>
            <w:rPr>
              <w:rFonts w:eastAsia="仿宋"/>
              <w:b w:val="0"/>
              <w:bCs w:val="0"/>
              <w:kern w:val="2"/>
              <w:sz w:val="24"/>
              <w:szCs w:val="28"/>
            </w:rPr>
          </w:pPr>
          <w:r>
            <w:fldChar w:fldCharType="begin"/>
          </w:r>
          <w:r>
            <w:instrText xml:space="preserve"> HYPERLINK \l "_Toc68214213" </w:instrText>
          </w:r>
          <w:r>
            <w:fldChar w:fldCharType="separate"/>
          </w:r>
          <w:r>
            <w:rPr>
              <w:rStyle w:val="16"/>
              <w:rFonts w:eastAsia="仿宋"/>
              <w:b w:val="0"/>
              <w:bCs w:val="0"/>
              <w:sz w:val="28"/>
              <w:szCs w:val="32"/>
            </w:rPr>
            <w:t>3.3 保障利益相关者的合法权益</w:t>
          </w:r>
          <w:r>
            <w:rPr>
              <w:rFonts w:eastAsia="仿宋"/>
              <w:b w:val="0"/>
              <w:bCs w:val="0"/>
              <w:sz w:val="28"/>
              <w:szCs w:val="32"/>
            </w:rPr>
            <w:tab/>
          </w:r>
          <w:r>
            <w:rPr>
              <w:rFonts w:eastAsia="仿宋"/>
              <w:b w:val="0"/>
              <w:bCs w:val="0"/>
              <w:sz w:val="28"/>
              <w:szCs w:val="32"/>
            </w:rPr>
            <w:fldChar w:fldCharType="begin"/>
          </w:r>
          <w:r>
            <w:rPr>
              <w:rFonts w:eastAsia="仿宋"/>
              <w:b w:val="0"/>
              <w:bCs w:val="0"/>
              <w:sz w:val="28"/>
              <w:szCs w:val="32"/>
            </w:rPr>
            <w:instrText xml:space="preserve"> PAGEREF _Toc68214213 \h </w:instrText>
          </w:r>
          <w:r>
            <w:rPr>
              <w:rFonts w:eastAsia="仿宋"/>
              <w:b w:val="0"/>
              <w:bCs w:val="0"/>
              <w:sz w:val="28"/>
              <w:szCs w:val="32"/>
            </w:rPr>
            <w:fldChar w:fldCharType="separate"/>
          </w:r>
          <w:r>
            <w:rPr>
              <w:rFonts w:eastAsia="仿宋"/>
              <w:b w:val="0"/>
              <w:bCs w:val="0"/>
              <w:sz w:val="28"/>
              <w:szCs w:val="32"/>
            </w:rPr>
            <w:t>17</w:t>
          </w:r>
          <w:r>
            <w:rPr>
              <w:rFonts w:eastAsia="仿宋"/>
              <w:b w:val="0"/>
              <w:bCs w:val="0"/>
              <w:sz w:val="28"/>
              <w:szCs w:val="32"/>
            </w:rPr>
            <w:fldChar w:fldCharType="end"/>
          </w:r>
          <w:r>
            <w:rPr>
              <w:rFonts w:eastAsia="仿宋"/>
              <w:b w:val="0"/>
              <w:bCs w:val="0"/>
              <w:sz w:val="28"/>
              <w:szCs w:val="32"/>
            </w:rPr>
            <w:fldChar w:fldCharType="end"/>
          </w:r>
        </w:p>
        <w:p>
          <w:pPr>
            <w:pStyle w:val="11"/>
            <w:rPr>
              <w:rFonts w:eastAsia="仿宋"/>
              <w:b w:val="0"/>
              <w:bCs w:val="0"/>
              <w:kern w:val="2"/>
              <w:sz w:val="24"/>
              <w:szCs w:val="28"/>
            </w:rPr>
          </w:pPr>
          <w:r>
            <w:fldChar w:fldCharType="begin"/>
          </w:r>
          <w:r>
            <w:instrText xml:space="preserve"> HYPERLINK \l "_Toc68214214" </w:instrText>
          </w:r>
          <w:r>
            <w:fldChar w:fldCharType="separate"/>
          </w:r>
          <w:r>
            <w:rPr>
              <w:rStyle w:val="16"/>
              <w:rFonts w:eastAsia="仿宋"/>
              <w:b w:val="0"/>
              <w:bCs w:val="0"/>
              <w:sz w:val="28"/>
              <w:szCs w:val="32"/>
            </w:rPr>
            <w:t>3.4 加强实施监测与公众参与</w:t>
          </w:r>
          <w:r>
            <w:rPr>
              <w:rFonts w:eastAsia="仿宋"/>
              <w:b w:val="0"/>
              <w:bCs w:val="0"/>
              <w:sz w:val="28"/>
              <w:szCs w:val="32"/>
            </w:rPr>
            <w:tab/>
          </w:r>
          <w:r>
            <w:rPr>
              <w:rFonts w:eastAsia="仿宋"/>
              <w:b w:val="0"/>
              <w:bCs w:val="0"/>
              <w:sz w:val="28"/>
              <w:szCs w:val="32"/>
            </w:rPr>
            <w:fldChar w:fldCharType="begin"/>
          </w:r>
          <w:r>
            <w:rPr>
              <w:rFonts w:eastAsia="仿宋"/>
              <w:b w:val="0"/>
              <w:bCs w:val="0"/>
              <w:sz w:val="28"/>
              <w:szCs w:val="32"/>
            </w:rPr>
            <w:instrText xml:space="preserve"> PAGEREF _Toc68214214 \h </w:instrText>
          </w:r>
          <w:r>
            <w:rPr>
              <w:rFonts w:eastAsia="仿宋"/>
              <w:b w:val="0"/>
              <w:bCs w:val="0"/>
              <w:sz w:val="28"/>
              <w:szCs w:val="32"/>
            </w:rPr>
            <w:fldChar w:fldCharType="separate"/>
          </w:r>
          <w:r>
            <w:rPr>
              <w:rFonts w:eastAsia="仿宋"/>
              <w:b w:val="0"/>
              <w:bCs w:val="0"/>
              <w:sz w:val="28"/>
              <w:szCs w:val="32"/>
            </w:rPr>
            <w:t>18</w:t>
          </w:r>
          <w:r>
            <w:rPr>
              <w:rFonts w:eastAsia="仿宋"/>
              <w:b w:val="0"/>
              <w:bCs w:val="0"/>
              <w:sz w:val="28"/>
              <w:szCs w:val="32"/>
            </w:rPr>
            <w:fldChar w:fldCharType="end"/>
          </w:r>
          <w:r>
            <w:rPr>
              <w:rFonts w:eastAsia="仿宋"/>
              <w:b w:val="0"/>
              <w:bCs w:val="0"/>
              <w:sz w:val="28"/>
              <w:szCs w:val="32"/>
            </w:rPr>
            <w:fldChar w:fldCharType="end"/>
          </w:r>
        </w:p>
        <w:p>
          <w:pPr>
            <w:pStyle w:val="9"/>
            <w:rPr>
              <w:rFonts w:eastAsia="仿宋" w:cs="Times New Roman"/>
              <w:b w:val="0"/>
              <w:bCs w:val="0"/>
              <w:kern w:val="2"/>
              <w:sz w:val="24"/>
              <w:szCs w:val="28"/>
            </w:rPr>
          </w:pPr>
          <w:r>
            <w:fldChar w:fldCharType="begin"/>
          </w:r>
          <w:r>
            <w:instrText xml:space="preserve"> HYPERLINK \l "_Toc68214215" </w:instrText>
          </w:r>
          <w:r>
            <w:fldChar w:fldCharType="separate"/>
          </w:r>
          <w:r>
            <w:rPr>
              <w:rStyle w:val="16"/>
              <w:rFonts w:eastAsia="仿宋" w:cs="Times New Roman"/>
              <w:b w:val="0"/>
              <w:bCs w:val="0"/>
              <w:sz w:val="28"/>
              <w:szCs w:val="32"/>
            </w:rPr>
            <w:t>附表</w:t>
          </w:r>
          <w:r>
            <w:rPr>
              <w:rFonts w:eastAsia="仿宋" w:cs="Times New Roman"/>
              <w:b w:val="0"/>
              <w:bCs w:val="0"/>
              <w:sz w:val="28"/>
              <w:szCs w:val="32"/>
            </w:rPr>
            <w:tab/>
          </w:r>
          <w:r>
            <w:rPr>
              <w:rFonts w:eastAsia="仿宋" w:cs="Times New Roman"/>
              <w:b w:val="0"/>
              <w:bCs w:val="0"/>
              <w:sz w:val="28"/>
              <w:szCs w:val="32"/>
            </w:rPr>
            <w:fldChar w:fldCharType="begin"/>
          </w:r>
          <w:r>
            <w:rPr>
              <w:rFonts w:eastAsia="仿宋" w:cs="Times New Roman"/>
              <w:b w:val="0"/>
              <w:bCs w:val="0"/>
              <w:sz w:val="28"/>
              <w:szCs w:val="32"/>
            </w:rPr>
            <w:instrText xml:space="preserve"> PAGEREF _Toc68214215 \h </w:instrText>
          </w:r>
          <w:r>
            <w:rPr>
              <w:rFonts w:eastAsia="仿宋" w:cs="Times New Roman"/>
              <w:b w:val="0"/>
              <w:bCs w:val="0"/>
              <w:sz w:val="28"/>
              <w:szCs w:val="32"/>
            </w:rPr>
            <w:fldChar w:fldCharType="separate"/>
          </w:r>
          <w:r>
            <w:rPr>
              <w:rFonts w:eastAsia="仿宋" w:cs="Times New Roman"/>
              <w:b w:val="0"/>
              <w:bCs w:val="0"/>
              <w:sz w:val="28"/>
              <w:szCs w:val="32"/>
            </w:rPr>
            <w:t>19</w:t>
          </w:r>
          <w:r>
            <w:rPr>
              <w:rFonts w:eastAsia="仿宋" w:cs="Times New Roman"/>
              <w:b w:val="0"/>
              <w:bCs w:val="0"/>
              <w:sz w:val="28"/>
              <w:szCs w:val="32"/>
            </w:rPr>
            <w:fldChar w:fldCharType="end"/>
          </w:r>
          <w:r>
            <w:rPr>
              <w:rFonts w:eastAsia="仿宋" w:cs="Times New Roman"/>
              <w:b w:val="0"/>
              <w:bCs w:val="0"/>
              <w:sz w:val="28"/>
              <w:szCs w:val="32"/>
            </w:rPr>
            <w:fldChar w:fldCharType="end"/>
          </w:r>
        </w:p>
        <w:p>
          <w:pPr>
            <w:pStyle w:val="9"/>
            <w:rPr>
              <w:rFonts w:eastAsia="仿宋" w:cs="Times New Roman"/>
              <w:b w:val="0"/>
              <w:bCs w:val="0"/>
              <w:kern w:val="2"/>
              <w:sz w:val="24"/>
              <w:szCs w:val="28"/>
            </w:rPr>
          </w:pPr>
          <w:r>
            <w:fldChar w:fldCharType="begin"/>
          </w:r>
          <w:r>
            <w:instrText xml:space="preserve"> HYPERLINK \l "_Toc68214216" </w:instrText>
          </w:r>
          <w:r>
            <w:fldChar w:fldCharType="separate"/>
          </w:r>
          <w:r>
            <w:rPr>
              <w:rStyle w:val="16"/>
              <w:rFonts w:eastAsia="仿宋" w:cs="Times New Roman"/>
              <w:b w:val="0"/>
              <w:bCs w:val="0"/>
              <w:sz w:val="28"/>
              <w:szCs w:val="32"/>
            </w:rPr>
            <w:t>附图</w:t>
          </w:r>
          <w:r>
            <w:rPr>
              <w:rFonts w:eastAsia="仿宋" w:cs="Times New Roman"/>
              <w:b w:val="0"/>
              <w:bCs w:val="0"/>
              <w:sz w:val="28"/>
              <w:szCs w:val="32"/>
            </w:rPr>
            <w:tab/>
          </w:r>
          <w:r>
            <w:rPr>
              <w:rFonts w:eastAsia="仿宋" w:cs="Times New Roman"/>
              <w:b w:val="0"/>
              <w:bCs w:val="0"/>
              <w:sz w:val="28"/>
              <w:szCs w:val="32"/>
            </w:rPr>
            <w:fldChar w:fldCharType="begin"/>
          </w:r>
          <w:r>
            <w:rPr>
              <w:rFonts w:eastAsia="仿宋" w:cs="Times New Roman"/>
              <w:b w:val="0"/>
              <w:bCs w:val="0"/>
              <w:sz w:val="28"/>
              <w:szCs w:val="32"/>
            </w:rPr>
            <w:instrText xml:space="preserve"> PAGEREF _Toc68214216 \h </w:instrText>
          </w:r>
          <w:r>
            <w:rPr>
              <w:rFonts w:eastAsia="仿宋" w:cs="Times New Roman"/>
              <w:b w:val="0"/>
              <w:bCs w:val="0"/>
              <w:sz w:val="28"/>
              <w:szCs w:val="32"/>
            </w:rPr>
            <w:fldChar w:fldCharType="separate"/>
          </w:r>
          <w:r>
            <w:rPr>
              <w:rFonts w:eastAsia="仿宋" w:cs="Times New Roman"/>
              <w:b w:val="0"/>
              <w:bCs w:val="0"/>
              <w:sz w:val="28"/>
              <w:szCs w:val="32"/>
            </w:rPr>
            <w:t>26</w:t>
          </w:r>
          <w:r>
            <w:rPr>
              <w:rFonts w:eastAsia="仿宋" w:cs="Times New Roman"/>
              <w:b w:val="0"/>
              <w:bCs w:val="0"/>
              <w:sz w:val="28"/>
              <w:szCs w:val="32"/>
            </w:rPr>
            <w:fldChar w:fldCharType="end"/>
          </w:r>
          <w:r>
            <w:rPr>
              <w:rFonts w:eastAsia="仿宋" w:cs="Times New Roman"/>
              <w:b w:val="0"/>
              <w:bCs w:val="0"/>
              <w:sz w:val="28"/>
              <w:szCs w:val="32"/>
            </w:rPr>
            <w:fldChar w:fldCharType="end"/>
          </w:r>
        </w:p>
        <w:p>
          <w:pPr>
            <w:pStyle w:val="9"/>
            <w:rPr>
              <w:sz w:val="24"/>
              <w:szCs w:val="28"/>
            </w:rPr>
            <w:sectPr>
              <w:headerReference r:id="rId5" w:type="default"/>
              <w:footerReference r:id="rId6" w:type="default"/>
              <w:pgSz w:w="11906" w:h="16838"/>
              <w:pgMar w:top="1440" w:right="1800" w:bottom="1440" w:left="1800" w:header="851" w:footer="992" w:gutter="0"/>
              <w:pgNumType w:fmt="lowerRoman" w:start="1"/>
              <w:cols w:space="425" w:num="1"/>
              <w:docGrid w:type="lines" w:linePitch="312" w:charSpace="0"/>
            </w:sectPr>
          </w:pPr>
          <w:r>
            <w:rPr>
              <w:rFonts w:eastAsia="仿宋" w:cs="Times New Roman"/>
              <w:b w:val="0"/>
              <w:bCs w:val="0"/>
              <w:sz w:val="36"/>
              <w:szCs w:val="36"/>
            </w:rPr>
            <w:fldChar w:fldCharType="end"/>
          </w:r>
        </w:p>
      </w:sdtContent>
    </w:sdt>
    <w:p>
      <w:pPr>
        <w:spacing w:line="360" w:lineRule="auto"/>
        <w:outlineLvl w:val="0"/>
        <w:rPr>
          <w:rFonts w:ascii="Times New Roman" w:hAnsi="Times New Roman" w:eastAsia="黑体" w:cs="Times New Roman"/>
          <w:b/>
          <w:bCs/>
          <w:sz w:val="32"/>
          <w:szCs w:val="32"/>
        </w:rPr>
      </w:pPr>
      <w:bookmarkStart w:id="1" w:name="_Toc68214188"/>
      <w:r>
        <w:rPr>
          <w:rFonts w:ascii="Times New Roman" w:hAnsi="Times New Roman" w:eastAsia="黑体" w:cs="Times New Roman"/>
          <w:b/>
          <w:bCs/>
          <w:sz w:val="32"/>
          <w:szCs w:val="32"/>
        </w:rPr>
        <w:t>1 基本情况</w:t>
      </w:r>
      <w:bookmarkEnd w:id="1"/>
    </w:p>
    <w:p>
      <w:pPr>
        <w:spacing w:line="360" w:lineRule="auto"/>
        <w:outlineLvl w:val="1"/>
        <w:rPr>
          <w:rFonts w:ascii="Times New Roman" w:hAnsi="Times New Roman" w:eastAsia="黑体" w:cs="Times New Roman"/>
          <w:b/>
          <w:bCs/>
          <w:sz w:val="30"/>
          <w:szCs w:val="30"/>
        </w:rPr>
      </w:pPr>
      <w:bookmarkStart w:id="2" w:name="_Toc68214189"/>
      <w:r>
        <w:rPr>
          <w:rFonts w:ascii="Times New Roman" w:hAnsi="Times New Roman" w:eastAsia="黑体" w:cs="Times New Roman"/>
          <w:b/>
          <w:bCs/>
          <w:sz w:val="30"/>
          <w:szCs w:val="30"/>
        </w:rPr>
        <w:t xml:space="preserve">1.1 </w:t>
      </w:r>
      <w:r>
        <w:rPr>
          <w:rFonts w:hint="eastAsia" w:ascii="Times New Roman" w:hAnsi="Times New Roman" w:eastAsia="黑体" w:cs="Times New Roman"/>
          <w:b/>
          <w:bCs/>
          <w:sz w:val="30"/>
          <w:szCs w:val="30"/>
        </w:rPr>
        <w:t>区域</w:t>
      </w:r>
      <w:r>
        <w:rPr>
          <w:rFonts w:ascii="Times New Roman" w:hAnsi="Times New Roman" w:eastAsia="黑体" w:cs="Times New Roman"/>
          <w:b/>
          <w:bCs/>
          <w:sz w:val="30"/>
          <w:szCs w:val="30"/>
        </w:rPr>
        <w:t>概况</w:t>
      </w:r>
      <w:bookmarkEnd w:id="2"/>
    </w:p>
    <w:p>
      <w:pPr>
        <w:autoSpaceDE w:val="0"/>
        <w:autoSpaceDN w:val="0"/>
        <w:adjustRightInd w:val="0"/>
        <w:spacing w:line="360" w:lineRule="auto"/>
        <w:ind w:firstLine="562" w:firstLineChars="200"/>
        <w:outlineLvl w:val="2"/>
        <w:rPr>
          <w:rFonts w:ascii="Times New Roman" w:hAnsi="Times New Roman" w:eastAsia="黑体" w:cs="Times New Roman"/>
          <w:b/>
          <w:bCs/>
          <w:sz w:val="28"/>
        </w:rPr>
      </w:pPr>
      <w:bookmarkStart w:id="3" w:name="_Toc68214190"/>
      <w:r>
        <w:rPr>
          <w:rFonts w:ascii="Times New Roman" w:hAnsi="Times New Roman" w:eastAsia="黑体" w:cs="Times New Roman"/>
          <w:b/>
          <w:bCs/>
          <w:sz w:val="28"/>
        </w:rPr>
        <w:t xml:space="preserve">1.1.1 </w:t>
      </w:r>
      <w:r>
        <w:rPr>
          <w:rFonts w:hint="eastAsia" w:ascii="Times New Roman" w:hAnsi="Times New Roman" w:eastAsia="黑体" w:cs="Times New Roman"/>
          <w:b/>
          <w:bCs/>
          <w:sz w:val="28"/>
        </w:rPr>
        <w:t>自然地理概况</w:t>
      </w:r>
      <w:bookmarkEnd w:id="3"/>
    </w:p>
    <w:p>
      <w:pPr>
        <w:widowControl/>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建邺区，南京市主城区之一，位于市区西南部，</w:t>
      </w:r>
      <w:r>
        <w:rPr>
          <w:rFonts w:ascii="Times New Roman" w:hAnsi="Times New Roman" w:eastAsia="仿宋" w:cs="Times New Roman"/>
          <w:sz w:val="28"/>
          <w:szCs w:val="28"/>
        </w:rPr>
        <w:t>面积80.87平方公里</w:t>
      </w:r>
      <w:r>
        <w:rPr>
          <w:rFonts w:hint="eastAsia" w:ascii="Times New Roman" w:hAnsi="Times New Roman" w:eastAsia="仿宋" w:cs="Times New Roman"/>
          <w:sz w:val="28"/>
          <w:szCs w:val="28"/>
        </w:rPr>
        <w:t>，</w:t>
      </w:r>
      <w:r>
        <w:rPr>
          <w:rFonts w:ascii="Times New Roman" w:hAnsi="Times New Roman" w:eastAsia="仿宋" w:cs="Times New Roman"/>
          <w:sz w:val="28"/>
          <w:szCs w:val="28"/>
        </w:rPr>
        <w:t>东、南紧邻外秦淮河和秦淮新河，西临长江，北止汉中门大街</w:t>
      </w:r>
      <w:r>
        <w:rPr>
          <w:rFonts w:hint="eastAsia" w:ascii="Times New Roman" w:hAnsi="Times New Roman" w:eastAsia="仿宋" w:cs="Times New Roman"/>
          <w:sz w:val="28"/>
          <w:szCs w:val="28"/>
        </w:rPr>
        <w:t>，是国家东部地区的金融服务中心，华东地区商务商贸中心、会展中心、文体中心和创新创意中心。下辖</w:t>
      </w:r>
      <w:r>
        <w:rPr>
          <w:rFonts w:ascii="Times New Roman" w:hAnsi="Times New Roman" w:eastAsia="仿宋" w:cs="Times New Roman"/>
          <w:sz w:val="28"/>
          <w:szCs w:val="28"/>
        </w:rPr>
        <w:t>6个街道、60个社区</w:t>
      </w:r>
      <w:r>
        <w:rPr>
          <w:rFonts w:hint="eastAsia" w:ascii="Times New Roman" w:hAnsi="Times New Roman" w:eastAsia="仿宋" w:cs="Times New Roman"/>
          <w:sz w:val="28"/>
          <w:szCs w:val="28"/>
        </w:rPr>
        <w:t>。</w:t>
      </w:r>
    </w:p>
    <w:p>
      <w:pPr>
        <w:spacing w:line="360" w:lineRule="auto"/>
        <w:jc w:val="center"/>
        <w:rPr>
          <w:rFonts w:ascii="Times New Roman" w:hAnsi="Times New Roman" w:eastAsia="仿宋_GB2312" w:cs="Times New Roman"/>
          <w:sz w:val="28"/>
          <w:szCs w:val="28"/>
        </w:rPr>
      </w:pPr>
      <w:r>
        <w:drawing>
          <wp:inline distT="0" distB="0" distL="0" distR="0">
            <wp:extent cx="2510155" cy="2343150"/>
            <wp:effectExtent l="19050" t="19050" r="23495" b="190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rcRect l="5861" t="7558" r="5556" b="5364"/>
                    <a:stretch>
                      <a:fillRect/>
                    </a:stretch>
                  </pic:blipFill>
                  <pic:spPr>
                    <a:xfrm flipH="1">
                      <a:off x="0" y="0"/>
                      <a:ext cx="2510155" cy="2343150"/>
                    </a:xfrm>
                    <a:prstGeom prst="rect">
                      <a:avLst/>
                    </a:prstGeom>
                    <a:ln w="9525" cap="flat" cmpd="sng" algn="ctr">
                      <a:solidFill>
                        <a:sysClr val="window" lastClr="FFFFFF">
                          <a:lumMod val="50000"/>
                        </a:sysClr>
                      </a:solidFill>
                      <a:prstDash val="solid"/>
                      <a:round/>
                      <a:headEnd type="none" w="med" len="med"/>
                      <a:tailEnd type="none" w="med" len="med"/>
                    </a:ln>
                  </pic:spPr>
                </pic:pic>
              </a:graphicData>
            </a:graphic>
          </wp:inline>
        </w:drawing>
      </w:r>
      <w:r>
        <w:drawing>
          <wp:inline distT="0" distB="0" distL="0" distR="0">
            <wp:extent cx="2541270" cy="2344420"/>
            <wp:effectExtent l="19050" t="19050" r="11430" b="177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rcRect l="4165" t="906" r="1928"/>
                    <a:stretch>
                      <a:fillRect/>
                    </a:stretch>
                  </pic:blipFill>
                  <pic:spPr>
                    <a:xfrm>
                      <a:off x="0" y="0"/>
                      <a:ext cx="2587871" cy="2387247"/>
                    </a:xfrm>
                    <a:prstGeom prst="rect">
                      <a:avLst/>
                    </a:prstGeom>
                    <a:ln w="9525" cap="flat" cmpd="sng" algn="ctr">
                      <a:solidFill>
                        <a:sysClr val="window" lastClr="FFFFFF">
                          <a:lumMod val="50000"/>
                        </a:sysClr>
                      </a:solidFill>
                      <a:prstDash val="solid"/>
                      <a:round/>
                      <a:headEnd type="none" w="med" len="med"/>
                      <a:tailEnd type="none" w="med" len="med"/>
                    </a:ln>
                  </pic:spPr>
                </pic:pic>
              </a:graphicData>
            </a:graphic>
          </wp:inline>
        </w:drawing>
      </w:r>
    </w:p>
    <w:p>
      <w:pPr>
        <w:spacing w:before="93" w:beforeLines="30" w:after="93" w:afterLines="30"/>
        <w:jc w:val="center"/>
        <w:rPr>
          <w:rFonts w:ascii="Times New Roman" w:hAnsi="Times New Roman" w:eastAsia="仿宋" w:cs="Times New Roman"/>
          <w:b/>
          <w:sz w:val="24"/>
        </w:rPr>
      </w:pPr>
      <w:r>
        <w:rPr>
          <w:rFonts w:hint="eastAsia" w:ascii="Times New Roman" w:hAnsi="Times New Roman" w:eastAsia="仿宋" w:cs="Times New Roman"/>
          <w:b/>
          <w:sz w:val="24"/>
        </w:rPr>
        <w:t>图</w:t>
      </w:r>
      <w:r>
        <w:rPr>
          <w:rFonts w:ascii="Times New Roman" w:hAnsi="Times New Roman" w:eastAsia="仿宋" w:cs="Times New Roman"/>
          <w:b/>
          <w:sz w:val="24"/>
        </w:rPr>
        <w:t>1-</w:t>
      </w:r>
      <w:r>
        <w:rPr>
          <w:rFonts w:hint="eastAsia" w:ascii="Times New Roman" w:hAnsi="Times New Roman" w:eastAsia="仿宋" w:cs="Times New Roman"/>
          <w:b/>
          <w:sz w:val="24"/>
        </w:rPr>
        <w:t>1</w:t>
      </w:r>
      <w:r>
        <w:rPr>
          <w:rFonts w:ascii="Times New Roman" w:hAnsi="Times New Roman" w:eastAsia="仿宋" w:cs="Times New Roman"/>
          <w:b/>
          <w:sz w:val="24"/>
        </w:rPr>
        <w:t xml:space="preserve"> </w:t>
      </w:r>
      <w:r>
        <w:rPr>
          <w:rFonts w:hint="eastAsia" w:ascii="Times New Roman" w:hAnsi="Times New Roman" w:eastAsia="仿宋" w:cs="Times New Roman"/>
          <w:b/>
          <w:sz w:val="24"/>
        </w:rPr>
        <w:t>建邺区位置示意</w:t>
      </w:r>
      <w:r>
        <w:rPr>
          <w:rFonts w:ascii="Times New Roman" w:hAnsi="Times New Roman" w:eastAsia="仿宋" w:cs="Times New Roman"/>
          <w:b/>
          <w:sz w:val="24"/>
        </w:rPr>
        <w:t>图</w:t>
      </w:r>
    </w:p>
    <w:p>
      <w:pPr>
        <w:widowControl/>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区内</w:t>
      </w:r>
      <w:r>
        <w:rPr>
          <w:rFonts w:ascii="Times New Roman" w:hAnsi="Times New Roman" w:eastAsia="仿宋" w:cs="Times New Roman"/>
          <w:sz w:val="28"/>
          <w:szCs w:val="28"/>
        </w:rPr>
        <w:t>地势南低北高，属长江漫滩地貌单元。境地地貌属于秦淮河河谷平原和长江洲地，海拔4～10米。长江洲地地势低平，海拔4～7米，由沿江洲地和江心洲两部分组成，均处于长江洪水位以下，靠筑堤围圩挡住洪水。</w:t>
      </w:r>
      <w:r>
        <w:rPr>
          <w:rFonts w:hint="eastAsia" w:ascii="Times New Roman" w:hAnsi="Times New Roman" w:eastAsia="仿宋" w:cs="Times New Roman"/>
          <w:sz w:val="28"/>
          <w:szCs w:val="28"/>
        </w:rPr>
        <w:t>区域境内水系交错，共有河流4</w:t>
      </w:r>
      <w:r>
        <w:rPr>
          <w:rFonts w:ascii="Times New Roman" w:hAnsi="Times New Roman" w:eastAsia="仿宋" w:cs="Times New Roman"/>
          <w:sz w:val="28"/>
          <w:szCs w:val="28"/>
        </w:rPr>
        <w:t>1</w:t>
      </w:r>
      <w:r>
        <w:rPr>
          <w:rFonts w:hint="eastAsia" w:ascii="Times New Roman" w:hAnsi="Times New Roman" w:eastAsia="仿宋" w:cs="Times New Roman"/>
          <w:sz w:val="28"/>
          <w:szCs w:val="28"/>
        </w:rPr>
        <w:t>条，其中，北部有南湖东河、南河北河等6条河流，中部有奥体北河、沙洲东河等1</w:t>
      </w:r>
      <w:r>
        <w:rPr>
          <w:rFonts w:ascii="Times New Roman" w:hAnsi="Times New Roman" w:eastAsia="仿宋" w:cs="Times New Roman"/>
          <w:sz w:val="28"/>
          <w:szCs w:val="28"/>
        </w:rPr>
        <w:t>1</w:t>
      </w:r>
      <w:r>
        <w:rPr>
          <w:rFonts w:hint="eastAsia" w:ascii="Times New Roman" w:hAnsi="Times New Roman" w:eastAsia="仿宋" w:cs="Times New Roman"/>
          <w:sz w:val="28"/>
          <w:szCs w:val="28"/>
        </w:rPr>
        <w:t>条河道，南部有莲花河、友谊河等1</w:t>
      </w:r>
      <w:r>
        <w:rPr>
          <w:rFonts w:ascii="Times New Roman" w:hAnsi="Times New Roman" w:eastAsia="仿宋" w:cs="Times New Roman"/>
          <w:sz w:val="28"/>
          <w:szCs w:val="28"/>
        </w:rPr>
        <w:t>3</w:t>
      </w:r>
      <w:r>
        <w:rPr>
          <w:rFonts w:hint="eastAsia" w:ascii="Times New Roman" w:hAnsi="Times New Roman" w:eastAsia="仿宋" w:cs="Times New Roman"/>
          <w:sz w:val="28"/>
          <w:szCs w:val="28"/>
        </w:rPr>
        <w:t>条河道，有莫愁湖、南湖两个湖泊</w:t>
      </w:r>
      <w:r>
        <w:rPr>
          <w:rFonts w:ascii="Times New Roman" w:hAnsi="Times New Roman" w:eastAsia="仿宋" w:cs="Times New Roman"/>
          <w:sz w:val="28"/>
          <w:szCs w:val="28"/>
        </w:rPr>
        <w:t>。</w:t>
      </w:r>
      <w:r>
        <w:rPr>
          <w:rFonts w:hint="eastAsia" w:ascii="Times New Roman" w:hAnsi="Times New Roman" w:eastAsia="仿宋" w:cs="Times New Roman"/>
          <w:sz w:val="28"/>
          <w:szCs w:val="28"/>
        </w:rPr>
        <w:t>属北亚热带湿润气候区，四季分明，雨水充沛，春秋短、冬夏长，年温差较大。</w:t>
      </w:r>
    </w:p>
    <w:p>
      <w:pPr>
        <w:autoSpaceDE w:val="0"/>
        <w:autoSpaceDN w:val="0"/>
        <w:adjustRightInd w:val="0"/>
        <w:spacing w:line="360" w:lineRule="auto"/>
        <w:ind w:firstLine="562" w:firstLineChars="200"/>
        <w:outlineLvl w:val="2"/>
        <w:rPr>
          <w:rFonts w:ascii="Times New Roman" w:hAnsi="Times New Roman" w:eastAsia="黑体" w:cs="Times New Roman"/>
          <w:b/>
          <w:bCs/>
          <w:sz w:val="28"/>
        </w:rPr>
      </w:pPr>
      <w:bookmarkStart w:id="4" w:name="_Toc68214191"/>
      <w:r>
        <w:rPr>
          <w:rFonts w:ascii="Times New Roman" w:hAnsi="Times New Roman" w:eastAsia="黑体" w:cs="Times New Roman"/>
          <w:b/>
          <w:bCs/>
          <w:sz w:val="28"/>
        </w:rPr>
        <w:t xml:space="preserve">1.1.2 </w:t>
      </w:r>
      <w:r>
        <w:rPr>
          <w:rFonts w:hint="eastAsia" w:ascii="Times New Roman" w:hAnsi="Times New Roman" w:eastAsia="黑体" w:cs="Times New Roman"/>
          <w:b/>
          <w:bCs/>
          <w:sz w:val="28"/>
        </w:rPr>
        <w:t>社会经济情况</w:t>
      </w:r>
      <w:bookmarkEnd w:id="4"/>
    </w:p>
    <w:p>
      <w:pPr>
        <w:widowControl/>
        <w:shd w:val="clear" w:color="auto" w:fill="FFFFFF"/>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2019年，</w:t>
      </w:r>
      <w:r>
        <w:rPr>
          <w:rFonts w:hint="eastAsia" w:ascii="Times New Roman" w:hAnsi="Times New Roman" w:eastAsia="仿宋" w:cs="Times New Roman"/>
          <w:sz w:val="28"/>
          <w:szCs w:val="28"/>
        </w:rPr>
        <w:t>全区实现</w:t>
      </w:r>
      <w:r>
        <w:rPr>
          <w:rFonts w:ascii="Times New Roman" w:hAnsi="Times New Roman" w:eastAsia="仿宋" w:cs="Times New Roman"/>
          <w:sz w:val="28"/>
          <w:szCs w:val="28"/>
        </w:rPr>
        <w:t>国内生产总值1055.89亿元，按可比价格计算，比上年增长8.2%。其中，</w:t>
      </w:r>
      <w:r>
        <w:rPr>
          <w:rFonts w:hint="eastAsia" w:ascii="Times New Roman" w:hAnsi="Times New Roman" w:eastAsia="仿宋" w:cs="Times New Roman"/>
          <w:sz w:val="28"/>
          <w:szCs w:val="28"/>
        </w:rPr>
        <w:t>第二产业增加值</w:t>
      </w:r>
      <w:r>
        <w:rPr>
          <w:rFonts w:ascii="Times New Roman" w:hAnsi="Times New Roman" w:eastAsia="仿宋" w:cs="Times New Roman"/>
          <w:sz w:val="28"/>
          <w:szCs w:val="28"/>
        </w:rPr>
        <w:t>338.8亿</w:t>
      </w:r>
      <w:r>
        <w:rPr>
          <w:rFonts w:hint="eastAsia" w:ascii="Times New Roman" w:hAnsi="Times New Roman" w:eastAsia="仿宋" w:cs="Times New Roman"/>
          <w:sz w:val="28"/>
          <w:szCs w:val="28"/>
        </w:rPr>
        <w:t>元，比上年增长</w:t>
      </w:r>
      <w:r>
        <w:rPr>
          <w:rFonts w:ascii="Times New Roman" w:hAnsi="Times New Roman" w:eastAsia="仿宋" w:cs="Times New Roman"/>
          <w:sz w:val="28"/>
          <w:szCs w:val="28"/>
        </w:rPr>
        <w:t>5.6%</w:t>
      </w:r>
      <w:r>
        <w:rPr>
          <w:rFonts w:hint="eastAsia" w:ascii="Times New Roman" w:hAnsi="Times New Roman" w:eastAsia="仿宋" w:cs="Times New Roman"/>
          <w:sz w:val="28"/>
          <w:szCs w:val="28"/>
        </w:rPr>
        <w:t>；</w:t>
      </w:r>
      <w:r>
        <w:rPr>
          <w:rFonts w:ascii="Times New Roman" w:hAnsi="Times New Roman" w:eastAsia="仿宋" w:cs="Times New Roman"/>
          <w:sz w:val="28"/>
          <w:szCs w:val="28"/>
        </w:rPr>
        <w:t>第三产业增加值717.09亿元，增长9.4%。全社会固定资产投资完成</w:t>
      </w:r>
      <w:r>
        <w:rPr>
          <w:rFonts w:hint="eastAsia" w:ascii="Times New Roman" w:hAnsi="Times New Roman" w:eastAsia="仿宋" w:cs="Times New Roman"/>
          <w:sz w:val="28"/>
          <w:szCs w:val="28"/>
        </w:rPr>
        <w:t>4</w:t>
      </w:r>
      <w:r>
        <w:rPr>
          <w:rFonts w:ascii="Times New Roman" w:hAnsi="Times New Roman" w:eastAsia="仿宋" w:cs="Times New Roman"/>
          <w:sz w:val="28"/>
          <w:szCs w:val="28"/>
        </w:rPr>
        <w:t>41.25亿元，</w:t>
      </w:r>
      <w:r>
        <w:rPr>
          <w:rFonts w:hint="eastAsia" w:ascii="Times New Roman" w:hAnsi="Times New Roman" w:eastAsia="仿宋" w:cs="Times New Roman"/>
          <w:sz w:val="28"/>
          <w:szCs w:val="28"/>
        </w:rPr>
        <w:t>同比</w:t>
      </w:r>
      <w:r>
        <w:rPr>
          <w:rFonts w:ascii="Times New Roman" w:hAnsi="Times New Roman" w:eastAsia="仿宋" w:cs="Times New Roman"/>
          <w:sz w:val="28"/>
          <w:szCs w:val="28"/>
        </w:rPr>
        <w:t>增长8.7%</w:t>
      </w:r>
      <w:r>
        <w:rPr>
          <w:rFonts w:hint="eastAsia" w:ascii="Times New Roman" w:hAnsi="Times New Roman" w:eastAsia="仿宋" w:cs="Times New Roman"/>
          <w:sz w:val="28"/>
          <w:szCs w:val="28"/>
        </w:rPr>
        <w:t>，超出全市增幅0</w:t>
      </w:r>
      <w:r>
        <w:rPr>
          <w:rFonts w:ascii="Times New Roman" w:hAnsi="Times New Roman" w:eastAsia="仿宋" w:cs="Times New Roman"/>
          <w:sz w:val="28"/>
          <w:szCs w:val="28"/>
        </w:rPr>
        <w:t>.7</w:t>
      </w:r>
      <w:r>
        <w:rPr>
          <w:rFonts w:hint="eastAsia" w:ascii="Times New Roman" w:hAnsi="Times New Roman" w:eastAsia="仿宋" w:cs="Times New Roman"/>
          <w:sz w:val="28"/>
          <w:szCs w:val="28"/>
        </w:rPr>
        <w:t>个百分点。</w:t>
      </w:r>
      <w:r>
        <w:rPr>
          <w:rFonts w:ascii="Times New Roman" w:hAnsi="Times New Roman" w:eastAsia="仿宋" w:cs="Times New Roman"/>
          <w:sz w:val="28"/>
          <w:szCs w:val="28"/>
        </w:rPr>
        <w:t>一般公共预算收入143.70亿元，税收收入占一般公共预算收入比重95%</w:t>
      </w:r>
      <w:r>
        <w:rPr>
          <w:rFonts w:hint="eastAsia" w:ascii="Times New Roman" w:hAnsi="Times New Roman" w:eastAsia="仿宋" w:cs="Times New Roman"/>
          <w:sz w:val="28"/>
          <w:szCs w:val="28"/>
        </w:rPr>
        <w:t>以上</w:t>
      </w:r>
      <w:r>
        <w:rPr>
          <w:rFonts w:ascii="Times New Roman" w:hAnsi="Times New Roman" w:eastAsia="仿宋" w:cs="Times New Roman"/>
          <w:sz w:val="28"/>
          <w:szCs w:val="28"/>
        </w:rPr>
        <w:t>。</w:t>
      </w:r>
      <w:r>
        <w:rPr>
          <w:rFonts w:hint="eastAsia" w:ascii="Times New Roman" w:hAnsi="Times New Roman" w:eastAsia="仿宋" w:cs="Times New Roman"/>
          <w:sz w:val="28"/>
          <w:szCs w:val="28"/>
        </w:rPr>
        <w:t>城镇居民人均可支配收入</w:t>
      </w:r>
      <w:r>
        <w:rPr>
          <w:rFonts w:ascii="Times New Roman" w:hAnsi="Times New Roman" w:eastAsia="仿宋" w:cs="Times New Roman"/>
          <w:sz w:val="28"/>
          <w:szCs w:val="28"/>
        </w:rPr>
        <w:t>62721元，增长8.5%。</w:t>
      </w:r>
    </w:p>
    <w:p>
      <w:pPr>
        <w:autoSpaceDE w:val="0"/>
        <w:autoSpaceDN w:val="0"/>
        <w:adjustRightInd w:val="0"/>
        <w:spacing w:line="360" w:lineRule="auto"/>
        <w:ind w:firstLine="562" w:firstLineChars="200"/>
        <w:outlineLvl w:val="2"/>
        <w:rPr>
          <w:rFonts w:ascii="Times New Roman" w:hAnsi="Times New Roman" w:eastAsia="黑体" w:cs="Times New Roman"/>
          <w:b/>
          <w:bCs/>
          <w:sz w:val="28"/>
        </w:rPr>
      </w:pPr>
      <w:bookmarkStart w:id="5" w:name="_Toc68214192"/>
      <w:r>
        <w:rPr>
          <w:rFonts w:ascii="Times New Roman" w:hAnsi="Times New Roman" w:eastAsia="黑体" w:cs="Times New Roman"/>
          <w:b/>
          <w:bCs/>
          <w:sz w:val="28"/>
        </w:rPr>
        <w:t>1.</w:t>
      </w:r>
      <w:r>
        <w:rPr>
          <w:rFonts w:hint="eastAsia" w:ascii="Times New Roman" w:hAnsi="Times New Roman" w:eastAsia="黑体" w:cs="Times New Roman"/>
          <w:b/>
          <w:bCs/>
          <w:sz w:val="28"/>
        </w:rPr>
        <w:t>1.3</w:t>
      </w:r>
      <w:r>
        <w:rPr>
          <w:rFonts w:ascii="Times New Roman" w:hAnsi="Times New Roman" w:eastAsia="黑体" w:cs="Times New Roman"/>
          <w:b/>
          <w:bCs/>
          <w:sz w:val="28"/>
        </w:rPr>
        <w:t xml:space="preserve"> </w:t>
      </w:r>
      <w:r>
        <w:rPr>
          <w:rFonts w:hint="eastAsia" w:ascii="Times New Roman" w:hAnsi="Times New Roman" w:eastAsia="黑体" w:cs="Times New Roman"/>
          <w:b/>
          <w:bCs/>
          <w:sz w:val="28"/>
        </w:rPr>
        <w:t>土地利用现状</w:t>
      </w:r>
      <w:bookmarkEnd w:id="5"/>
    </w:p>
    <w:p>
      <w:pPr>
        <w:widowControl/>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依据</w:t>
      </w:r>
      <w:r>
        <w:rPr>
          <w:rFonts w:ascii="Times New Roman" w:hAnsi="Times New Roman" w:eastAsia="仿宋" w:cs="Times New Roman"/>
          <w:sz w:val="28"/>
          <w:szCs w:val="28"/>
        </w:rPr>
        <w:t>2018年土地利用现状变更调查数据</w:t>
      </w:r>
      <w:r>
        <w:rPr>
          <w:rFonts w:hint="eastAsia" w:ascii="Times New Roman" w:hAnsi="Times New Roman" w:eastAsia="仿宋" w:cs="Times New Roman"/>
          <w:sz w:val="28"/>
          <w:szCs w:val="28"/>
        </w:rPr>
        <w:t>，全区总面积</w:t>
      </w:r>
      <w:r>
        <w:rPr>
          <w:rFonts w:ascii="Times New Roman" w:hAnsi="Times New Roman" w:eastAsia="仿宋" w:cs="Times New Roman"/>
          <w:sz w:val="28"/>
          <w:szCs w:val="28"/>
        </w:rPr>
        <w:t>8292.7500</w:t>
      </w:r>
      <w:r>
        <w:rPr>
          <w:rFonts w:hint="eastAsia" w:ascii="Times New Roman" w:hAnsi="Times New Roman" w:eastAsia="仿宋" w:cs="Times New Roman"/>
          <w:sz w:val="28"/>
          <w:szCs w:val="28"/>
        </w:rPr>
        <w:t>公顷，其中农用地面积</w:t>
      </w:r>
      <w:r>
        <w:rPr>
          <w:rFonts w:ascii="Times New Roman" w:hAnsi="Times New Roman" w:eastAsia="仿宋" w:cs="Times New Roman"/>
          <w:sz w:val="28"/>
          <w:szCs w:val="28"/>
        </w:rPr>
        <w:t>900.1800</w:t>
      </w:r>
      <w:r>
        <w:rPr>
          <w:rFonts w:hint="eastAsia" w:ascii="Times New Roman" w:hAnsi="Times New Roman" w:eastAsia="仿宋" w:cs="Times New Roman"/>
          <w:sz w:val="28"/>
          <w:szCs w:val="28"/>
        </w:rPr>
        <w:t>公顷，占土地总面积的</w:t>
      </w:r>
      <w:r>
        <w:rPr>
          <w:rFonts w:ascii="Times New Roman" w:hAnsi="Times New Roman" w:eastAsia="仿宋" w:cs="Times New Roman"/>
          <w:sz w:val="28"/>
          <w:szCs w:val="28"/>
        </w:rPr>
        <w:t>10.86%</w:t>
      </w:r>
      <w:r>
        <w:rPr>
          <w:rFonts w:hint="eastAsia" w:ascii="Times New Roman" w:hAnsi="Times New Roman" w:eastAsia="仿宋" w:cs="Times New Roman"/>
          <w:sz w:val="28"/>
          <w:szCs w:val="28"/>
        </w:rPr>
        <w:t>；建设用地面积</w:t>
      </w:r>
      <w:r>
        <w:rPr>
          <w:rFonts w:ascii="Times New Roman" w:hAnsi="Times New Roman" w:eastAsia="仿宋" w:cs="Times New Roman"/>
          <w:sz w:val="28"/>
          <w:szCs w:val="28"/>
        </w:rPr>
        <w:t>5301.2500</w:t>
      </w:r>
      <w:r>
        <w:rPr>
          <w:rFonts w:hint="eastAsia" w:ascii="Times New Roman" w:hAnsi="Times New Roman" w:eastAsia="仿宋" w:cs="Times New Roman"/>
          <w:sz w:val="28"/>
          <w:szCs w:val="28"/>
        </w:rPr>
        <w:t>公顷，占总面积的</w:t>
      </w:r>
      <w:r>
        <w:rPr>
          <w:rFonts w:ascii="Times New Roman" w:hAnsi="Times New Roman" w:eastAsia="仿宋" w:cs="Times New Roman"/>
          <w:sz w:val="28"/>
          <w:szCs w:val="28"/>
        </w:rPr>
        <w:t>63.93%</w:t>
      </w:r>
      <w:r>
        <w:rPr>
          <w:rFonts w:hint="eastAsia" w:ascii="Times New Roman" w:hAnsi="Times New Roman" w:eastAsia="仿宋" w:cs="Times New Roman"/>
          <w:sz w:val="28"/>
          <w:szCs w:val="28"/>
        </w:rPr>
        <w:t>；其他土地面积</w:t>
      </w:r>
      <w:r>
        <w:rPr>
          <w:rFonts w:ascii="Times New Roman" w:hAnsi="Times New Roman" w:eastAsia="仿宋" w:cs="Times New Roman"/>
          <w:sz w:val="28"/>
          <w:szCs w:val="28"/>
        </w:rPr>
        <w:t>2091.3200</w:t>
      </w:r>
      <w:r>
        <w:rPr>
          <w:rFonts w:hint="eastAsia" w:ascii="Times New Roman" w:hAnsi="Times New Roman" w:eastAsia="仿宋" w:cs="Times New Roman"/>
          <w:sz w:val="28"/>
          <w:szCs w:val="28"/>
        </w:rPr>
        <w:t>公顷，占总面积的</w:t>
      </w:r>
      <w:r>
        <w:rPr>
          <w:rFonts w:ascii="Times New Roman" w:hAnsi="Times New Roman" w:eastAsia="仿宋" w:cs="Times New Roman"/>
          <w:sz w:val="28"/>
          <w:szCs w:val="28"/>
        </w:rPr>
        <w:t>25.</w:t>
      </w:r>
      <w:r>
        <w:rPr>
          <w:rFonts w:hint="eastAsia" w:ascii="Times New Roman" w:hAnsi="Times New Roman" w:eastAsia="仿宋" w:cs="Times New Roman"/>
          <w:sz w:val="28"/>
          <w:szCs w:val="28"/>
        </w:rPr>
        <w:t>2</w:t>
      </w:r>
      <w:r>
        <w:rPr>
          <w:rFonts w:ascii="Times New Roman" w:hAnsi="Times New Roman" w:eastAsia="仿宋" w:cs="Times New Roman"/>
          <w:sz w:val="28"/>
          <w:szCs w:val="28"/>
        </w:rPr>
        <w:t>2%</w:t>
      </w:r>
      <w:r>
        <w:rPr>
          <w:rFonts w:hint="eastAsia" w:ascii="Times New Roman" w:hAnsi="Times New Roman" w:eastAsia="仿宋" w:cs="Times New Roman"/>
          <w:sz w:val="28"/>
          <w:szCs w:val="28"/>
        </w:rPr>
        <w:t>。</w:t>
      </w:r>
    </w:p>
    <w:p>
      <w:pPr>
        <w:widowControl/>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（1）农用地中，耕地面积</w:t>
      </w:r>
      <w:r>
        <w:rPr>
          <w:rFonts w:ascii="Times New Roman" w:hAnsi="Times New Roman" w:eastAsia="仿宋" w:cs="Times New Roman"/>
          <w:sz w:val="28"/>
          <w:szCs w:val="28"/>
        </w:rPr>
        <w:t>206.9100公顷，占农用地的22.99%；园地面积411.8400公顷，占农用地的45.75%；林地面积153.2100公顷，占农用地的17.02%；其他农用地面积128.2200公顷，占农用地的14.24%。</w:t>
      </w:r>
    </w:p>
    <w:p>
      <w:pPr>
        <w:widowControl/>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（2）建设用地中，城乡建设用地</w:t>
      </w:r>
      <w:r>
        <w:rPr>
          <w:rFonts w:ascii="Times New Roman" w:hAnsi="Times New Roman" w:eastAsia="仿宋" w:cs="Times New Roman"/>
          <w:sz w:val="28"/>
          <w:szCs w:val="28"/>
        </w:rPr>
        <w:t>4575.7800公顷，占建设用地的55.18%；交通水利用地722.2200公顷，占8.71%；其他建设用地3.2500公顷，占0.04%。城乡建设用地中城镇工矿用地4508.6400公顷，农村居民点面积67.1400公顷。</w:t>
      </w:r>
    </w:p>
    <w:p>
      <w:pPr>
        <w:widowControl/>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（3）其他土地中，水域面积</w:t>
      </w:r>
      <w:r>
        <w:rPr>
          <w:rFonts w:ascii="Times New Roman" w:hAnsi="Times New Roman" w:eastAsia="仿宋" w:cs="Times New Roman"/>
          <w:sz w:val="28"/>
          <w:szCs w:val="28"/>
        </w:rPr>
        <w:t>2058.4600公顷，占其他土地面积的98.43%；自然保留地32.8600公顷，占1.57%。</w:t>
      </w:r>
    </w:p>
    <w:p>
      <w:pPr>
        <w:spacing w:before="156" w:beforeLines="50" w:after="156" w:afterLines="50"/>
        <w:jc w:val="center"/>
        <w:rPr>
          <w:rFonts w:ascii="Times New Roman" w:hAnsi="Times New Roman" w:eastAsia="仿宋" w:cs="Times New Roman"/>
          <w:b/>
          <w:sz w:val="24"/>
        </w:rPr>
      </w:pPr>
      <w:r>
        <w:rPr>
          <w:rFonts w:ascii="Times New Roman" w:hAnsi="Times New Roman" w:eastAsia="仿宋" w:cs="Times New Roman"/>
          <w:b/>
          <w:sz w:val="24"/>
        </w:rPr>
        <w:t xml:space="preserve">表1-1 </w:t>
      </w:r>
      <w:r>
        <w:rPr>
          <w:rFonts w:hint="eastAsia" w:ascii="Times New Roman" w:hAnsi="Times New Roman" w:eastAsia="仿宋" w:cs="Times New Roman"/>
          <w:b/>
          <w:sz w:val="24"/>
        </w:rPr>
        <w:t>建邺区</w:t>
      </w:r>
      <w:r>
        <w:rPr>
          <w:rFonts w:ascii="Times New Roman" w:hAnsi="Times New Roman" w:eastAsia="仿宋" w:cs="Times New Roman"/>
          <w:b/>
          <w:sz w:val="24"/>
        </w:rPr>
        <w:t>2018年度土地利用现状结构表</w:t>
      </w:r>
      <w:r>
        <w:rPr>
          <w:rFonts w:ascii="Times New Roman" w:hAnsi="Times New Roman" w:eastAsia="仿宋" w:cs="Times New Roman"/>
          <w:b/>
          <w:sz w:val="24"/>
          <w:vertAlign w:val="superscript"/>
        </w:rPr>
        <w:footnoteReference w:id="0"/>
      </w:r>
    </w:p>
    <w:p>
      <w:pPr>
        <w:wordWrap w:val="0"/>
        <w:autoSpaceDE w:val="0"/>
        <w:autoSpaceDN w:val="0"/>
        <w:adjustRightInd w:val="0"/>
        <w:spacing w:line="360" w:lineRule="auto"/>
        <w:ind w:firstLine="480" w:firstLineChars="200"/>
        <w:jc w:val="right"/>
        <w:rPr>
          <w:rFonts w:ascii="Times New Roman" w:hAnsi="Times New Roman" w:eastAsia="仿宋" w:cs="Times New Roman"/>
          <w:sz w:val="24"/>
          <w:szCs w:val="24"/>
        </w:rPr>
      </w:pPr>
      <w:r>
        <w:rPr>
          <w:rFonts w:ascii="Times New Roman" w:hAnsi="Times New Roman" w:eastAsia="仿宋" w:cs="Times New Roman"/>
          <w:sz w:val="24"/>
          <w:szCs w:val="24"/>
        </w:rPr>
        <w:t>单位：公顷</w:t>
      </w:r>
      <w:r>
        <w:rPr>
          <w:rFonts w:hint="eastAsia" w:ascii="Times New Roman" w:hAnsi="Times New Roman" w:eastAsia="仿宋" w:cs="Times New Roman"/>
          <w:sz w:val="24"/>
          <w:szCs w:val="24"/>
        </w:rPr>
        <w:t>、%</w:t>
      </w:r>
    </w:p>
    <w:tbl>
      <w:tblPr>
        <w:tblStyle w:val="14"/>
        <w:tblW w:w="48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2"/>
        <w:gridCol w:w="2204"/>
        <w:gridCol w:w="2341"/>
        <w:gridCol w:w="2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blHeader/>
          <w:jc w:val="center"/>
        </w:trPr>
        <w:tc>
          <w:tcPr>
            <w:tcW w:w="3826" w:type="dxa"/>
            <w:gridSpan w:val="2"/>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地  类</w:t>
            </w:r>
          </w:p>
        </w:tc>
        <w:tc>
          <w:tcPr>
            <w:tcW w:w="2341" w:type="dxa"/>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面积</w:t>
            </w:r>
          </w:p>
        </w:tc>
        <w:tc>
          <w:tcPr>
            <w:tcW w:w="2115" w:type="dxa"/>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Merge w:val="restart"/>
            <w:shd w:val="clear" w:color="auto" w:fill="auto"/>
            <w:noWrap/>
            <w:textDirection w:val="tbRlV"/>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农用地</w:t>
            </w:r>
          </w:p>
        </w:tc>
        <w:tc>
          <w:tcPr>
            <w:tcW w:w="2204" w:type="dxa"/>
            <w:shd w:val="clear" w:color="auto" w:fill="auto"/>
            <w:vAlign w:val="center"/>
          </w:tcPr>
          <w:p>
            <w:pPr>
              <w:widowControl/>
              <w:jc w:val="left"/>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合计</w:t>
            </w:r>
          </w:p>
        </w:tc>
        <w:tc>
          <w:tcPr>
            <w:tcW w:w="2341" w:type="dxa"/>
            <w:shd w:val="clear" w:color="auto" w:fill="auto"/>
            <w:noWrap/>
            <w:vAlign w:val="center"/>
          </w:tcPr>
          <w:p>
            <w:pPr>
              <w:widowControl/>
              <w:jc w:val="right"/>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 xml:space="preserve">900.1800 </w:t>
            </w:r>
          </w:p>
        </w:tc>
        <w:tc>
          <w:tcPr>
            <w:tcW w:w="2115" w:type="dxa"/>
            <w:shd w:val="clear" w:color="auto" w:fill="auto"/>
            <w:noWrap/>
            <w:vAlign w:val="center"/>
          </w:tcPr>
          <w:p>
            <w:pPr>
              <w:widowControl/>
              <w:jc w:val="right"/>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10.86%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Merge w:val="continue"/>
            <w:vAlign w:val="center"/>
          </w:tcPr>
          <w:p>
            <w:pPr>
              <w:widowControl/>
              <w:jc w:val="left"/>
              <w:rPr>
                <w:rFonts w:ascii="Times New Roman" w:hAnsi="Times New Roman" w:eastAsia="仿宋" w:cs="Times New Roman"/>
                <w:color w:val="000000"/>
                <w:kern w:val="0"/>
                <w:sz w:val="22"/>
              </w:rPr>
            </w:pPr>
          </w:p>
        </w:tc>
        <w:tc>
          <w:tcPr>
            <w:tcW w:w="2204"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耕地</w:t>
            </w:r>
          </w:p>
        </w:tc>
        <w:tc>
          <w:tcPr>
            <w:tcW w:w="2341" w:type="dxa"/>
            <w:shd w:val="clear" w:color="auto" w:fill="auto"/>
            <w:noWrap/>
            <w:vAlign w:val="center"/>
          </w:tcPr>
          <w:p>
            <w:pPr>
              <w:widowControl/>
              <w:jc w:val="right"/>
              <w:rPr>
                <w:rFonts w:ascii="Times New Roman" w:hAnsi="Times New Roman" w:eastAsia="仿宋" w:cs="Times New Roman"/>
                <w:kern w:val="0"/>
                <w:sz w:val="22"/>
              </w:rPr>
            </w:pPr>
            <w:r>
              <w:rPr>
                <w:rFonts w:ascii="Times New Roman" w:hAnsi="Times New Roman" w:eastAsia="仿宋" w:cs="Times New Roman"/>
                <w:kern w:val="0"/>
                <w:sz w:val="22"/>
              </w:rPr>
              <w:t xml:space="preserve">206.9100 </w:t>
            </w:r>
          </w:p>
        </w:tc>
        <w:tc>
          <w:tcPr>
            <w:tcW w:w="2115" w:type="dxa"/>
            <w:shd w:val="clear" w:color="auto" w:fill="auto"/>
            <w:noWrap/>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Merge w:val="continue"/>
            <w:vAlign w:val="center"/>
          </w:tcPr>
          <w:p>
            <w:pPr>
              <w:widowControl/>
              <w:jc w:val="left"/>
              <w:rPr>
                <w:rFonts w:ascii="Times New Roman" w:hAnsi="Times New Roman" w:eastAsia="仿宋" w:cs="Times New Roman"/>
                <w:color w:val="000000"/>
                <w:kern w:val="0"/>
                <w:sz w:val="22"/>
              </w:rPr>
            </w:pPr>
          </w:p>
        </w:tc>
        <w:tc>
          <w:tcPr>
            <w:tcW w:w="2204"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园地</w:t>
            </w:r>
          </w:p>
        </w:tc>
        <w:tc>
          <w:tcPr>
            <w:tcW w:w="2341" w:type="dxa"/>
            <w:shd w:val="clear" w:color="auto" w:fill="auto"/>
            <w:noWrap/>
            <w:vAlign w:val="center"/>
          </w:tcPr>
          <w:p>
            <w:pPr>
              <w:widowControl/>
              <w:jc w:val="right"/>
              <w:rPr>
                <w:rFonts w:ascii="Times New Roman" w:hAnsi="Times New Roman" w:eastAsia="仿宋" w:cs="Times New Roman"/>
                <w:kern w:val="0"/>
                <w:sz w:val="22"/>
              </w:rPr>
            </w:pPr>
            <w:r>
              <w:rPr>
                <w:rFonts w:ascii="Times New Roman" w:hAnsi="Times New Roman" w:eastAsia="仿宋" w:cs="Times New Roman"/>
                <w:kern w:val="0"/>
                <w:sz w:val="22"/>
              </w:rPr>
              <w:t xml:space="preserve">411.8400 </w:t>
            </w:r>
          </w:p>
        </w:tc>
        <w:tc>
          <w:tcPr>
            <w:tcW w:w="2115" w:type="dxa"/>
            <w:shd w:val="clear" w:color="auto" w:fill="auto"/>
            <w:noWrap/>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4.97%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Merge w:val="continue"/>
            <w:vAlign w:val="center"/>
          </w:tcPr>
          <w:p>
            <w:pPr>
              <w:widowControl/>
              <w:jc w:val="left"/>
              <w:rPr>
                <w:rFonts w:ascii="Times New Roman" w:hAnsi="Times New Roman" w:eastAsia="仿宋" w:cs="Times New Roman"/>
                <w:color w:val="000000"/>
                <w:kern w:val="0"/>
                <w:sz w:val="22"/>
              </w:rPr>
            </w:pPr>
          </w:p>
        </w:tc>
        <w:tc>
          <w:tcPr>
            <w:tcW w:w="2204"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林地</w:t>
            </w:r>
          </w:p>
        </w:tc>
        <w:tc>
          <w:tcPr>
            <w:tcW w:w="2341" w:type="dxa"/>
            <w:shd w:val="clear" w:color="auto" w:fill="auto"/>
            <w:noWrap/>
            <w:vAlign w:val="center"/>
          </w:tcPr>
          <w:p>
            <w:pPr>
              <w:widowControl/>
              <w:jc w:val="right"/>
              <w:rPr>
                <w:rFonts w:ascii="Times New Roman" w:hAnsi="Times New Roman" w:eastAsia="仿宋" w:cs="Times New Roman"/>
                <w:kern w:val="0"/>
                <w:sz w:val="22"/>
              </w:rPr>
            </w:pPr>
            <w:r>
              <w:rPr>
                <w:rFonts w:ascii="Times New Roman" w:hAnsi="Times New Roman" w:eastAsia="仿宋" w:cs="Times New Roman"/>
                <w:kern w:val="0"/>
                <w:sz w:val="22"/>
              </w:rPr>
              <w:t xml:space="preserve">153.2100 </w:t>
            </w:r>
          </w:p>
        </w:tc>
        <w:tc>
          <w:tcPr>
            <w:tcW w:w="2115" w:type="dxa"/>
            <w:shd w:val="clear" w:color="auto" w:fill="auto"/>
            <w:noWrap/>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Merge w:val="continue"/>
            <w:vAlign w:val="center"/>
          </w:tcPr>
          <w:p>
            <w:pPr>
              <w:widowControl/>
              <w:jc w:val="left"/>
              <w:rPr>
                <w:rFonts w:ascii="Times New Roman" w:hAnsi="Times New Roman" w:eastAsia="仿宋" w:cs="Times New Roman"/>
                <w:color w:val="000000"/>
                <w:kern w:val="0"/>
                <w:sz w:val="22"/>
              </w:rPr>
            </w:pPr>
          </w:p>
        </w:tc>
        <w:tc>
          <w:tcPr>
            <w:tcW w:w="2204"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牧草地</w:t>
            </w:r>
          </w:p>
        </w:tc>
        <w:tc>
          <w:tcPr>
            <w:tcW w:w="2341" w:type="dxa"/>
            <w:shd w:val="clear" w:color="auto" w:fill="auto"/>
            <w:noWrap/>
            <w:vAlign w:val="center"/>
          </w:tcPr>
          <w:p>
            <w:pPr>
              <w:widowControl/>
              <w:jc w:val="right"/>
              <w:rPr>
                <w:rFonts w:ascii="Times New Roman" w:hAnsi="Times New Roman" w:eastAsia="仿宋" w:cs="Times New Roman"/>
                <w:kern w:val="0"/>
                <w:sz w:val="22"/>
              </w:rPr>
            </w:pPr>
            <w:r>
              <w:rPr>
                <w:rFonts w:ascii="Times New Roman" w:hAnsi="Times New Roman" w:eastAsia="仿宋" w:cs="Times New Roman"/>
                <w:kern w:val="0"/>
                <w:sz w:val="22"/>
              </w:rPr>
              <w:t xml:space="preserve">0.0000 </w:t>
            </w:r>
          </w:p>
        </w:tc>
        <w:tc>
          <w:tcPr>
            <w:tcW w:w="2115" w:type="dxa"/>
            <w:shd w:val="clear" w:color="auto" w:fill="auto"/>
            <w:noWrap/>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Merge w:val="continue"/>
            <w:vAlign w:val="center"/>
          </w:tcPr>
          <w:p>
            <w:pPr>
              <w:widowControl/>
              <w:jc w:val="left"/>
              <w:rPr>
                <w:rFonts w:ascii="Times New Roman" w:hAnsi="Times New Roman" w:eastAsia="仿宋" w:cs="Times New Roman"/>
                <w:color w:val="000000"/>
                <w:kern w:val="0"/>
                <w:sz w:val="22"/>
              </w:rPr>
            </w:pPr>
          </w:p>
        </w:tc>
        <w:tc>
          <w:tcPr>
            <w:tcW w:w="2204"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其他农用地</w:t>
            </w:r>
          </w:p>
        </w:tc>
        <w:tc>
          <w:tcPr>
            <w:tcW w:w="2341" w:type="dxa"/>
            <w:shd w:val="clear" w:color="auto" w:fill="auto"/>
            <w:noWrap/>
            <w:vAlign w:val="center"/>
          </w:tcPr>
          <w:p>
            <w:pPr>
              <w:widowControl/>
              <w:jc w:val="right"/>
              <w:rPr>
                <w:rFonts w:ascii="Times New Roman" w:hAnsi="Times New Roman" w:eastAsia="仿宋" w:cs="Times New Roman"/>
                <w:kern w:val="0"/>
                <w:sz w:val="22"/>
              </w:rPr>
            </w:pPr>
            <w:r>
              <w:rPr>
                <w:rFonts w:ascii="Times New Roman" w:hAnsi="Times New Roman" w:eastAsia="仿宋" w:cs="Times New Roman"/>
                <w:kern w:val="0"/>
                <w:sz w:val="22"/>
              </w:rPr>
              <w:t xml:space="preserve">128.2200 </w:t>
            </w:r>
          </w:p>
        </w:tc>
        <w:tc>
          <w:tcPr>
            <w:tcW w:w="2115" w:type="dxa"/>
            <w:shd w:val="clear" w:color="auto" w:fill="auto"/>
            <w:noWrap/>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Merge w:val="restart"/>
            <w:shd w:val="clear" w:color="auto" w:fill="auto"/>
            <w:noWrap/>
            <w:textDirection w:val="tbRlV"/>
            <w:vAlign w:val="center"/>
          </w:tcPr>
          <w:p>
            <w:pPr>
              <w:widowControl/>
              <w:ind w:left="113" w:right="113"/>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建设用地</w:t>
            </w:r>
          </w:p>
        </w:tc>
        <w:tc>
          <w:tcPr>
            <w:tcW w:w="2204" w:type="dxa"/>
            <w:shd w:val="clear" w:color="auto" w:fill="auto"/>
            <w:vAlign w:val="center"/>
          </w:tcPr>
          <w:p>
            <w:pPr>
              <w:widowControl/>
              <w:jc w:val="left"/>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合计</w:t>
            </w:r>
          </w:p>
        </w:tc>
        <w:tc>
          <w:tcPr>
            <w:tcW w:w="2341" w:type="dxa"/>
            <w:shd w:val="clear" w:color="auto" w:fill="auto"/>
            <w:noWrap/>
            <w:vAlign w:val="center"/>
          </w:tcPr>
          <w:p>
            <w:pPr>
              <w:widowControl/>
              <w:jc w:val="right"/>
              <w:rPr>
                <w:rFonts w:ascii="Times New Roman" w:hAnsi="Times New Roman" w:eastAsia="仿宋" w:cs="Times New Roman"/>
                <w:b/>
                <w:bCs/>
                <w:kern w:val="0"/>
                <w:sz w:val="22"/>
              </w:rPr>
            </w:pPr>
            <w:r>
              <w:rPr>
                <w:rFonts w:ascii="Times New Roman" w:hAnsi="Times New Roman" w:eastAsia="仿宋" w:cs="Times New Roman"/>
                <w:b/>
                <w:bCs/>
                <w:kern w:val="0"/>
                <w:sz w:val="22"/>
              </w:rPr>
              <w:t xml:space="preserve">5301.2500 </w:t>
            </w:r>
          </w:p>
        </w:tc>
        <w:tc>
          <w:tcPr>
            <w:tcW w:w="2115" w:type="dxa"/>
            <w:shd w:val="clear" w:color="auto" w:fill="auto"/>
            <w:noWrap/>
            <w:vAlign w:val="center"/>
          </w:tcPr>
          <w:p>
            <w:pPr>
              <w:widowControl/>
              <w:jc w:val="right"/>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63.93%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Merge w:val="continue"/>
            <w:vAlign w:val="center"/>
          </w:tcPr>
          <w:p>
            <w:pPr>
              <w:widowControl/>
              <w:jc w:val="left"/>
              <w:rPr>
                <w:rFonts w:ascii="Times New Roman" w:hAnsi="Times New Roman" w:eastAsia="仿宋" w:cs="Times New Roman"/>
                <w:color w:val="000000"/>
                <w:kern w:val="0"/>
                <w:sz w:val="22"/>
              </w:rPr>
            </w:pPr>
          </w:p>
        </w:tc>
        <w:tc>
          <w:tcPr>
            <w:tcW w:w="2204"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城乡建设用地</w:t>
            </w:r>
          </w:p>
        </w:tc>
        <w:tc>
          <w:tcPr>
            <w:tcW w:w="2341" w:type="dxa"/>
            <w:shd w:val="clear" w:color="auto" w:fill="auto"/>
            <w:noWrap/>
            <w:vAlign w:val="center"/>
          </w:tcPr>
          <w:p>
            <w:pPr>
              <w:widowControl/>
              <w:jc w:val="right"/>
              <w:rPr>
                <w:rFonts w:ascii="Times New Roman" w:hAnsi="Times New Roman" w:eastAsia="仿宋" w:cs="Times New Roman"/>
                <w:kern w:val="0"/>
                <w:sz w:val="22"/>
              </w:rPr>
            </w:pPr>
            <w:r>
              <w:rPr>
                <w:rFonts w:ascii="Times New Roman" w:hAnsi="Times New Roman" w:eastAsia="仿宋" w:cs="Times New Roman"/>
                <w:kern w:val="0"/>
                <w:sz w:val="22"/>
              </w:rPr>
              <w:t xml:space="preserve">4575.7800 </w:t>
            </w:r>
          </w:p>
        </w:tc>
        <w:tc>
          <w:tcPr>
            <w:tcW w:w="2115" w:type="dxa"/>
            <w:shd w:val="clear" w:color="auto" w:fill="auto"/>
            <w:noWrap/>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55.18%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Merge w:val="continue"/>
            <w:vAlign w:val="center"/>
          </w:tcPr>
          <w:p>
            <w:pPr>
              <w:widowControl/>
              <w:jc w:val="left"/>
              <w:rPr>
                <w:rFonts w:ascii="Times New Roman" w:hAnsi="Times New Roman" w:eastAsia="仿宋" w:cs="Times New Roman"/>
                <w:color w:val="000000"/>
                <w:kern w:val="0"/>
                <w:sz w:val="22"/>
              </w:rPr>
            </w:pPr>
          </w:p>
        </w:tc>
        <w:tc>
          <w:tcPr>
            <w:tcW w:w="2204"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城镇工矿用地</w:t>
            </w:r>
          </w:p>
        </w:tc>
        <w:tc>
          <w:tcPr>
            <w:tcW w:w="2341" w:type="dxa"/>
            <w:shd w:val="clear" w:color="auto" w:fill="auto"/>
            <w:noWrap/>
            <w:vAlign w:val="center"/>
          </w:tcPr>
          <w:p>
            <w:pPr>
              <w:widowControl/>
              <w:jc w:val="right"/>
              <w:rPr>
                <w:rFonts w:ascii="Times New Roman" w:hAnsi="Times New Roman" w:eastAsia="仿宋" w:cs="Times New Roman"/>
                <w:kern w:val="0"/>
                <w:sz w:val="22"/>
              </w:rPr>
            </w:pPr>
            <w:r>
              <w:rPr>
                <w:rFonts w:ascii="Times New Roman" w:hAnsi="Times New Roman" w:eastAsia="仿宋" w:cs="Times New Roman"/>
                <w:kern w:val="0"/>
                <w:sz w:val="22"/>
              </w:rPr>
              <w:t xml:space="preserve">4508.6400 </w:t>
            </w:r>
          </w:p>
        </w:tc>
        <w:tc>
          <w:tcPr>
            <w:tcW w:w="2115" w:type="dxa"/>
            <w:shd w:val="clear" w:color="auto" w:fill="auto"/>
            <w:noWrap/>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Merge w:val="continue"/>
            <w:vAlign w:val="center"/>
          </w:tcPr>
          <w:p>
            <w:pPr>
              <w:widowControl/>
              <w:jc w:val="left"/>
              <w:rPr>
                <w:rFonts w:ascii="Times New Roman" w:hAnsi="Times New Roman" w:eastAsia="仿宋" w:cs="Times New Roman"/>
                <w:color w:val="000000"/>
                <w:kern w:val="0"/>
                <w:sz w:val="22"/>
              </w:rPr>
            </w:pPr>
          </w:p>
        </w:tc>
        <w:tc>
          <w:tcPr>
            <w:tcW w:w="2204"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农村居民点用地</w:t>
            </w:r>
          </w:p>
        </w:tc>
        <w:tc>
          <w:tcPr>
            <w:tcW w:w="2341" w:type="dxa"/>
            <w:shd w:val="clear" w:color="auto" w:fill="auto"/>
            <w:noWrap/>
            <w:vAlign w:val="center"/>
          </w:tcPr>
          <w:p>
            <w:pPr>
              <w:widowControl/>
              <w:jc w:val="right"/>
              <w:rPr>
                <w:rFonts w:ascii="Times New Roman" w:hAnsi="Times New Roman" w:eastAsia="仿宋" w:cs="Times New Roman"/>
                <w:kern w:val="0"/>
                <w:sz w:val="22"/>
              </w:rPr>
            </w:pPr>
            <w:r>
              <w:rPr>
                <w:rFonts w:ascii="Times New Roman" w:hAnsi="Times New Roman" w:eastAsia="仿宋" w:cs="Times New Roman"/>
                <w:kern w:val="0"/>
                <w:sz w:val="22"/>
              </w:rPr>
              <w:t xml:space="preserve">67.1400 </w:t>
            </w:r>
          </w:p>
        </w:tc>
        <w:tc>
          <w:tcPr>
            <w:tcW w:w="2115" w:type="dxa"/>
            <w:shd w:val="clear" w:color="auto" w:fill="auto"/>
            <w:noWrap/>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Merge w:val="continue"/>
            <w:vAlign w:val="center"/>
          </w:tcPr>
          <w:p>
            <w:pPr>
              <w:widowControl/>
              <w:jc w:val="left"/>
              <w:rPr>
                <w:rFonts w:ascii="Times New Roman" w:hAnsi="Times New Roman" w:eastAsia="仿宋" w:cs="Times New Roman"/>
                <w:color w:val="000000"/>
                <w:kern w:val="0"/>
                <w:sz w:val="22"/>
              </w:rPr>
            </w:pPr>
          </w:p>
        </w:tc>
        <w:tc>
          <w:tcPr>
            <w:tcW w:w="2204"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交通水利用地</w:t>
            </w:r>
          </w:p>
        </w:tc>
        <w:tc>
          <w:tcPr>
            <w:tcW w:w="2341" w:type="dxa"/>
            <w:shd w:val="clear" w:color="auto" w:fill="auto"/>
            <w:noWrap/>
            <w:vAlign w:val="center"/>
          </w:tcPr>
          <w:p>
            <w:pPr>
              <w:widowControl/>
              <w:jc w:val="right"/>
              <w:rPr>
                <w:rFonts w:ascii="Times New Roman" w:hAnsi="Times New Roman" w:eastAsia="仿宋" w:cs="Times New Roman"/>
                <w:kern w:val="0"/>
                <w:sz w:val="22"/>
              </w:rPr>
            </w:pPr>
            <w:r>
              <w:rPr>
                <w:rFonts w:ascii="Times New Roman" w:hAnsi="Times New Roman" w:eastAsia="仿宋" w:cs="Times New Roman"/>
                <w:kern w:val="0"/>
                <w:sz w:val="22"/>
              </w:rPr>
              <w:t xml:space="preserve">722.2200 </w:t>
            </w:r>
          </w:p>
        </w:tc>
        <w:tc>
          <w:tcPr>
            <w:tcW w:w="2115" w:type="dxa"/>
            <w:shd w:val="clear" w:color="auto" w:fill="auto"/>
            <w:noWrap/>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8.71%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Merge w:val="continue"/>
            <w:vAlign w:val="center"/>
          </w:tcPr>
          <w:p>
            <w:pPr>
              <w:widowControl/>
              <w:jc w:val="left"/>
              <w:rPr>
                <w:rFonts w:ascii="Times New Roman" w:hAnsi="Times New Roman" w:eastAsia="仿宋" w:cs="Times New Roman"/>
                <w:color w:val="000000"/>
                <w:kern w:val="0"/>
                <w:sz w:val="22"/>
              </w:rPr>
            </w:pPr>
          </w:p>
        </w:tc>
        <w:tc>
          <w:tcPr>
            <w:tcW w:w="2204"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其他建设用地</w:t>
            </w:r>
          </w:p>
        </w:tc>
        <w:tc>
          <w:tcPr>
            <w:tcW w:w="2341" w:type="dxa"/>
            <w:shd w:val="clear" w:color="auto" w:fill="auto"/>
            <w:noWrap/>
            <w:vAlign w:val="center"/>
          </w:tcPr>
          <w:p>
            <w:pPr>
              <w:widowControl/>
              <w:jc w:val="right"/>
              <w:rPr>
                <w:rFonts w:ascii="Times New Roman" w:hAnsi="Times New Roman" w:eastAsia="仿宋" w:cs="Times New Roman"/>
                <w:kern w:val="0"/>
                <w:sz w:val="22"/>
              </w:rPr>
            </w:pPr>
            <w:r>
              <w:rPr>
                <w:rFonts w:ascii="Times New Roman" w:hAnsi="Times New Roman" w:eastAsia="仿宋" w:cs="Times New Roman"/>
                <w:kern w:val="0"/>
                <w:sz w:val="22"/>
              </w:rPr>
              <w:t xml:space="preserve">3.2500 </w:t>
            </w:r>
          </w:p>
        </w:tc>
        <w:tc>
          <w:tcPr>
            <w:tcW w:w="2115" w:type="dxa"/>
            <w:shd w:val="clear" w:color="auto" w:fill="auto"/>
            <w:noWrap/>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Merge w:val="restart"/>
            <w:shd w:val="clear" w:color="auto" w:fill="auto"/>
            <w:noWrap/>
            <w:textDirection w:val="tbRlV"/>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其他土地</w:t>
            </w:r>
          </w:p>
        </w:tc>
        <w:tc>
          <w:tcPr>
            <w:tcW w:w="2204" w:type="dxa"/>
            <w:shd w:val="clear" w:color="auto" w:fill="auto"/>
            <w:vAlign w:val="center"/>
          </w:tcPr>
          <w:p>
            <w:pPr>
              <w:widowControl/>
              <w:jc w:val="left"/>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合计</w:t>
            </w:r>
          </w:p>
        </w:tc>
        <w:tc>
          <w:tcPr>
            <w:tcW w:w="2341" w:type="dxa"/>
            <w:shd w:val="clear" w:color="auto" w:fill="auto"/>
            <w:noWrap/>
            <w:vAlign w:val="center"/>
          </w:tcPr>
          <w:p>
            <w:pPr>
              <w:widowControl/>
              <w:jc w:val="right"/>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 xml:space="preserve">2091.3200 </w:t>
            </w:r>
          </w:p>
        </w:tc>
        <w:tc>
          <w:tcPr>
            <w:tcW w:w="2115" w:type="dxa"/>
            <w:shd w:val="clear" w:color="auto" w:fill="auto"/>
            <w:noWrap/>
            <w:vAlign w:val="center"/>
          </w:tcPr>
          <w:p>
            <w:pPr>
              <w:widowControl/>
              <w:jc w:val="right"/>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25.22%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Merge w:val="continue"/>
            <w:vAlign w:val="center"/>
          </w:tcPr>
          <w:p>
            <w:pPr>
              <w:widowControl/>
              <w:jc w:val="left"/>
              <w:rPr>
                <w:rFonts w:ascii="Times New Roman" w:hAnsi="Times New Roman" w:eastAsia="仿宋" w:cs="Times New Roman"/>
                <w:color w:val="000000"/>
                <w:kern w:val="0"/>
                <w:sz w:val="22"/>
              </w:rPr>
            </w:pPr>
          </w:p>
        </w:tc>
        <w:tc>
          <w:tcPr>
            <w:tcW w:w="2204"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水域</w:t>
            </w:r>
          </w:p>
        </w:tc>
        <w:tc>
          <w:tcPr>
            <w:tcW w:w="2341" w:type="dxa"/>
            <w:shd w:val="clear" w:color="auto" w:fill="auto"/>
            <w:noWrap/>
            <w:vAlign w:val="center"/>
          </w:tcPr>
          <w:p>
            <w:pPr>
              <w:widowControl/>
              <w:jc w:val="right"/>
              <w:rPr>
                <w:rFonts w:ascii="Times New Roman" w:hAnsi="Times New Roman" w:eastAsia="仿宋" w:cs="Times New Roman"/>
                <w:kern w:val="0"/>
                <w:sz w:val="22"/>
              </w:rPr>
            </w:pPr>
            <w:r>
              <w:rPr>
                <w:rFonts w:ascii="Times New Roman" w:hAnsi="Times New Roman" w:eastAsia="仿宋" w:cs="Times New Roman"/>
                <w:kern w:val="0"/>
                <w:sz w:val="22"/>
              </w:rPr>
              <w:t xml:space="preserve">2058.4600 </w:t>
            </w:r>
          </w:p>
        </w:tc>
        <w:tc>
          <w:tcPr>
            <w:tcW w:w="2115" w:type="dxa"/>
            <w:shd w:val="clear" w:color="auto" w:fill="auto"/>
            <w:noWrap/>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24.82%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Merge w:val="continue"/>
            <w:vAlign w:val="center"/>
          </w:tcPr>
          <w:p>
            <w:pPr>
              <w:widowControl/>
              <w:jc w:val="left"/>
              <w:rPr>
                <w:rFonts w:ascii="Times New Roman" w:hAnsi="Times New Roman" w:eastAsia="仿宋" w:cs="Times New Roman"/>
                <w:color w:val="000000"/>
                <w:kern w:val="0"/>
                <w:sz w:val="22"/>
              </w:rPr>
            </w:pPr>
          </w:p>
        </w:tc>
        <w:tc>
          <w:tcPr>
            <w:tcW w:w="2204"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自然保留地</w:t>
            </w:r>
          </w:p>
        </w:tc>
        <w:tc>
          <w:tcPr>
            <w:tcW w:w="2341" w:type="dxa"/>
            <w:shd w:val="clear" w:color="auto" w:fill="auto"/>
            <w:noWrap/>
            <w:vAlign w:val="center"/>
          </w:tcPr>
          <w:p>
            <w:pPr>
              <w:widowControl/>
              <w:jc w:val="right"/>
              <w:rPr>
                <w:rFonts w:ascii="Times New Roman" w:hAnsi="Times New Roman" w:eastAsia="仿宋" w:cs="Times New Roman"/>
                <w:kern w:val="0"/>
                <w:sz w:val="22"/>
              </w:rPr>
            </w:pPr>
            <w:r>
              <w:rPr>
                <w:rFonts w:ascii="Times New Roman" w:hAnsi="Times New Roman" w:eastAsia="仿宋" w:cs="Times New Roman"/>
                <w:kern w:val="0"/>
                <w:sz w:val="22"/>
              </w:rPr>
              <w:t xml:space="preserve">32.8600 </w:t>
            </w:r>
          </w:p>
        </w:tc>
        <w:tc>
          <w:tcPr>
            <w:tcW w:w="2115" w:type="dxa"/>
            <w:shd w:val="clear" w:color="auto" w:fill="auto"/>
            <w:noWrap/>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3826" w:type="dxa"/>
            <w:gridSpan w:val="2"/>
            <w:shd w:val="clear" w:color="auto" w:fill="auto"/>
            <w:noWrap/>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总面积</w:t>
            </w:r>
          </w:p>
        </w:tc>
        <w:tc>
          <w:tcPr>
            <w:tcW w:w="2341" w:type="dxa"/>
            <w:shd w:val="clear" w:color="auto" w:fill="auto"/>
            <w:noWrap/>
            <w:vAlign w:val="center"/>
          </w:tcPr>
          <w:p>
            <w:pPr>
              <w:widowControl/>
              <w:jc w:val="right"/>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 xml:space="preserve">8292.7500 </w:t>
            </w:r>
          </w:p>
        </w:tc>
        <w:tc>
          <w:tcPr>
            <w:tcW w:w="2115" w:type="dxa"/>
            <w:shd w:val="clear" w:color="auto" w:fill="auto"/>
            <w:noWrap/>
            <w:vAlign w:val="center"/>
          </w:tcPr>
          <w:p>
            <w:pPr>
              <w:widowControl/>
              <w:jc w:val="right"/>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100.00%</w:t>
            </w:r>
          </w:p>
        </w:tc>
      </w:tr>
    </w:tbl>
    <w:p>
      <w:pPr>
        <w:autoSpaceDE w:val="0"/>
        <w:autoSpaceDN w:val="0"/>
        <w:adjustRightInd w:val="0"/>
        <w:spacing w:line="360" w:lineRule="auto"/>
        <w:ind w:firstLine="562" w:firstLineChars="200"/>
        <w:outlineLvl w:val="2"/>
        <w:rPr>
          <w:rFonts w:ascii="Times New Roman" w:hAnsi="Times New Roman" w:eastAsia="黑体" w:cs="Times New Roman"/>
          <w:b/>
          <w:bCs/>
          <w:sz w:val="28"/>
        </w:rPr>
      </w:pPr>
      <w:bookmarkStart w:id="6" w:name="_Toc68214193"/>
      <w:bookmarkStart w:id="7" w:name="_Hlk65766238"/>
      <w:r>
        <w:rPr>
          <w:rFonts w:ascii="Times New Roman" w:hAnsi="Times New Roman" w:eastAsia="黑体" w:cs="Times New Roman"/>
          <w:b/>
          <w:bCs/>
          <w:sz w:val="28"/>
        </w:rPr>
        <w:t>1.</w:t>
      </w:r>
      <w:r>
        <w:rPr>
          <w:rFonts w:hint="eastAsia" w:ascii="Times New Roman" w:hAnsi="Times New Roman" w:eastAsia="黑体" w:cs="Times New Roman"/>
          <w:b/>
          <w:bCs/>
          <w:sz w:val="28"/>
        </w:rPr>
        <w:t>1.4</w:t>
      </w:r>
      <w:r>
        <w:rPr>
          <w:rFonts w:ascii="Times New Roman" w:hAnsi="Times New Roman" w:eastAsia="黑体" w:cs="Times New Roman"/>
          <w:b/>
          <w:bCs/>
          <w:sz w:val="28"/>
        </w:rPr>
        <w:t xml:space="preserve"> </w:t>
      </w:r>
      <w:r>
        <w:rPr>
          <w:rFonts w:hint="eastAsia" w:ascii="Times New Roman" w:hAnsi="Times New Roman" w:eastAsia="黑体" w:cs="Times New Roman"/>
          <w:b/>
          <w:bCs/>
          <w:sz w:val="28"/>
        </w:rPr>
        <w:t>总体空间格局</w:t>
      </w:r>
      <w:bookmarkEnd w:id="6"/>
    </w:p>
    <w:p>
      <w:pPr>
        <w:widowControl/>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按照“建设现代文明与滨江特色交相辉映的现代化国际性城市中心”的总体目标要求，整合空间资源，充分发挥后青奥效应，加快实现发展方式转变，推动发展质量和效益提升，建设“三中心一高地”：超级总部中心、科技创新中心、东部金融中心与国际化文体消费高地。整体以滨江活力轴为核心，划定“三区一岛”的总体格局：江心洲生态科技岛、河西中片区、河西南片区以及河西北片区。滨江活力轴用文化、生态赋能的开敞空间集聚人气活力，突出向心集聚作用，河西南与河西中共同打造中央活力区，按照“更新北中、运营南岛、岛城协同”总体思路，推进建邺整体协同发展。</w:t>
      </w:r>
    </w:p>
    <w:p>
      <w:pPr>
        <w:spacing w:line="360" w:lineRule="auto"/>
        <w:jc w:val="center"/>
        <w:rPr>
          <w:rFonts w:ascii="Times New Roman" w:hAnsi="Times New Roman" w:eastAsia="仿宋_GB2312" w:cs="Times New Roman"/>
          <w:sz w:val="28"/>
          <w:szCs w:val="28"/>
        </w:rPr>
      </w:pPr>
      <w:r>
        <w:drawing>
          <wp:inline distT="0" distB="0" distL="0" distR="0">
            <wp:extent cx="3489960" cy="3409950"/>
            <wp:effectExtent l="19050" t="19050" r="15240" b="190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3577384" cy="3495145"/>
                    </a:xfrm>
                    <a:prstGeom prst="rect">
                      <a:avLst/>
                    </a:prstGeom>
                    <a:ln>
                      <a:solidFill>
                        <a:schemeClr val="bg1">
                          <a:lumMod val="50000"/>
                        </a:schemeClr>
                      </a:solidFill>
                    </a:ln>
                  </pic:spPr>
                </pic:pic>
              </a:graphicData>
            </a:graphic>
          </wp:inline>
        </w:drawing>
      </w:r>
    </w:p>
    <w:p>
      <w:pPr>
        <w:spacing w:before="156" w:beforeLines="50" w:after="156" w:afterLines="50"/>
        <w:jc w:val="center"/>
        <w:rPr>
          <w:rFonts w:ascii="Times New Roman" w:hAnsi="Times New Roman" w:eastAsia="仿宋" w:cs="Times New Roman"/>
          <w:b/>
          <w:sz w:val="24"/>
        </w:rPr>
      </w:pPr>
      <w:r>
        <w:rPr>
          <w:rFonts w:hint="eastAsia" w:ascii="Times New Roman" w:hAnsi="Times New Roman" w:eastAsia="仿宋" w:cs="Times New Roman"/>
          <w:b/>
          <w:sz w:val="24"/>
        </w:rPr>
        <w:t>图</w:t>
      </w:r>
      <w:r>
        <w:rPr>
          <w:rFonts w:ascii="Times New Roman" w:hAnsi="Times New Roman" w:eastAsia="仿宋" w:cs="Times New Roman"/>
          <w:b/>
          <w:sz w:val="24"/>
        </w:rPr>
        <w:t>1-</w:t>
      </w:r>
      <w:r>
        <w:rPr>
          <w:rFonts w:hint="eastAsia" w:ascii="Times New Roman" w:hAnsi="Times New Roman" w:eastAsia="仿宋" w:cs="Times New Roman"/>
          <w:b/>
          <w:sz w:val="24"/>
        </w:rPr>
        <w:t>2</w:t>
      </w:r>
      <w:r>
        <w:rPr>
          <w:rFonts w:ascii="Times New Roman" w:hAnsi="Times New Roman" w:eastAsia="仿宋" w:cs="Times New Roman"/>
          <w:b/>
          <w:sz w:val="24"/>
        </w:rPr>
        <w:t xml:space="preserve"> </w:t>
      </w:r>
      <w:r>
        <w:rPr>
          <w:rFonts w:hint="eastAsia" w:ascii="Times New Roman" w:hAnsi="Times New Roman" w:eastAsia="仿宋" w:cs="Times New Roman"/>
          <w:b/>
          <w:sz w:val="24"/>
        </w:rPr>
        <w:t>建邺区国土空间格局示意</w:t>
      </w:r>
      <w:r>
        <w:rPr>
          <w:rFonts w:ascii="Times New Roman" w:hAnsi="Times New Roman" w:eastAsia="仿宋" w:cs="Times New Roman"/>
          <w:b/>
          <w:sz w:val="24"/>
        </w:rPr>
        <w:t>图</w:t>
      </w:r>
    </w:p>
    <w:p>
      <w:pPr>
        <w:spacing w:line="360" w:lineRule="auto"/>
        <w:outlineLvl w:val="1"/>
        <w:rPr>
          <w:rFonts w:ascii="Times New Roman" w:hAnsi="Times New Roman" w:eastAsia="黑体" w:cs="Times New Roman"/>
          <w:b/>
          <w:bCs/>
          <w:sz w:val="30"/>
          <w:szCs w:val="30"/>
        </w:rPr>
      </w:pPr>
      <w:bookmarkStart w:id="8" w:name="_Toc68214194"/>
      <w:r>
        <w:rPr>
          <w:rFonts w:ascii="Times New Roman" w:hAnsi="Times New Roman" w:eastAsia="黑体" w:cs="Times New Roman"/>
          <w:b/>
          <w:bCs/>
          <w:sz w:val="30"/>
          <w:szCs w:val="30"/>
        </w:rPr>
        <w:t>1.</w:t>
      </w:r>
      <w:r>
        <w:rPr>
          <w:rFonts w:hint="eastAsia" w:ascii="Times New Roman" w:hAnsi="Times New Roman" w:eastAsia="黑体" w:cs="Times New Roman"/>
          <w:b/>
          <w:bCs/>
          <w:sz w:val="30"/>
          <w:szCs w:val="30"/>
        </w:rPr>
        <w:t>2</w:t>
      </w:r>
      <w:r>
        <w:rPr>
          <w:rFonts w:ascii="Times New Roman" w:hAnsi="Times New Roman" w:eastAsia="黑体" w:cs="Times New Roman"/>
          <w:b/>
          <w:bCs/>
          <w:sz w:val="30"/>
          <w:szCs w:val="30"/>
        </w:rPr>
        <w:t xml:space="preserve"> 近期</w:t>
      </w:r>
      <w:r>
        <w:rPr>
          <w:rFonts w:hint="eastAsia" w:ascii="Times New Roman" w:hAnsi="Times New Roman" w:eastAsia="黑体" w:cs="Times New Roman"/>
          <w:b/>
          <w:bCs/>
          <w:sz w:val="30"/>
          <w:szCs w:val="30"/>
        </w:rPr>
        <w:t>实施方案期限</w:t>
      </w:r>
      <w:bookmarkEnd w:id="8"/>
    </w:p>
    <w:p>
      <w:pPr>
        <w:widowControl/>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实施方案期限为</w:t>
      </w:r>
      <w:r>
        <w:rPr>
          <w:rFonts w:ascii="Times New Roman" w:hAnsi="Times New Roman" w:eastAsia="仿宋" w:cs="Times New Roman"/>
          <w:sz w:val="28"/>
          <w:szCs w:val="28"/>
        </w:rPr>
        <w:t>2021年1月1日起至</w:t>
      </w:r>
      <w:r>
        <w:rPr>
          <w:rFonts w:hint="eastAsia" w:ascii="Times New Roman" w:hAnsi="Times New Roman" w:eastAsia="仿宋" w:cs="Times New Roman"/>
          <w:sz w:val="28"/>
          <w:szCs w:val="28"/>
        </w:rPr>
        <w:t>南京市建邺区国土空间总体规划</w:t>
      </w:r>
      <w:r>
        <w:rPr>
          <w:rFonts w:ascii="Times New Roman" w:hAnsi="Times New Roman" w:eastAsia="仿宋" w:cs="Times New Roman"/>
          <w:sz w:val="28"/>
          <w:szCs w:val="28"/>
        </w:rPr>
        <w:t>获得批准时为止。</w:t>
      </w:r>
    </w:p>
    <w:p>
      <w:pPr>
        <w:spacing w:line="360" w:lineRule="auto"/>
        <w:outlineLvl w:val="1"/>
        <w:rPr>
          <w:rFonts w:ascii="Times New Roman" w:hAnsi="Times New Roman" w:eastAsia="黑体" w:cs="Times New Roman"/>
          <w:b/>
          <w:bCs/>
          <w:sz w:val="30"/>
          <w:szCs w:val="30"/>
        </w:rPr>
      </w:pPr>
      <w:bookmarkStart w:id="9" w:name="_Toc68214195"/>
      <w:r>
        <w:rPr>
          <w:rFonts w:ascii="Times New Roman" w:hAnsi="Times New Roman" w:eastAsia="黑体" w:cs="Times New Roman"/>
          <w:b/>
          <w:bCs/>
          <w:sz w:val="30"/>
          <w:szCs w:val="30"/>
        </w:rPr>
        <w:t>1.</w:t>
      </w:r>
      <w:r>
        <w:rPr>
          <w:rFonts w:hint="eastAsia" w:ascii="Times New Roman" w:hAnsi="Times New Roman" w:eastAsia="黑体" w:cs="Times New Roman"/>
          <w:b/>
          <w:bCs/>
          <w:sz w:val="30"/>
          <w:szCs w:val="30"/>
        </w:rPr>
        <w:t>3</w:t>
      </w:r>
      <w:r>
        <w:rPr>
          <w:rFonts w:ascii="Times New Roman" w:hAnsi="Times New Roman" w:eastAsia="黑体" w:cs="Times New Roman"/>
          <w:b/>
          <w:bCs/>
          <w:sz w:val="30"/>
          <w:szCs w:val="30"/>
        </w:rPr>
        <w:t xml:space="preserve"> 近期</w:t>
      </w:r>
      <w:r>
        <w:rPr>
          <w:rFonts w:hint="eastAsia" w:ascii="Times New Roman" w:hAnsi="Times New Roman" w:eastAsia="黑体" w:cs="Times New Roman"/>
          <w:b/>
          <w:bCs/>
          <w:sz w:val="30"/>
          <w:szCs w:val="30"/>
        </w:rPr>
        <w:t>规划空间需求</w:t>
      </w:r>
      <w:bookmarkEnd w:id="9"/>
    </w:p>
    <w:p>
      <w:pPr>
        <w:widowControl/>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基于《建邺区国民经济和社会发展第十四个五年规划和二〇三五年远景目标纲要（草案）》及各部门、街道近期发展诉求，围绕“十四五”提出的“高质量发展、高品质生活、高起点创新、高水平开放、高效能治理”的发展思路，近期实施方案在严控建设用地总量和强度的前提下，优化建设用地布局，统筹安排规划建设用地的实施时序。优先保障保障重点基础设施建设项目及相关配套设施的用地需求，不断提升区域本质安全和人民生活水平。</w:t>
      </w:r>
    </w:p>
    <w:p>
      <w:pPr>
        <w:widowControl/>
        <w:jc w:val="left"/>
        <w:rPr>
          <w:rFonts w:ascii="Times New Roman" w:hAnsi="Times New Roman" w:eastAsia="仿宋" w:cs="Times New Roman"/>
          <w:sz w:val="28"/>
          <w:szCs w:val="28"/>
        </w:rPr>
      </w:pPr>
      <w:r>
        <w:rPr>
          <w:rFonts w:ascii="Times New Roman" w:hAnsi="Times New Roman" w:eastAsia="仿宋" w:cs="Times New Roman"/>
          <w:sz w:val="28"/>
          <w:szCs w:val="28"/>
        </w:rPr>
        <w:br w:type="page"/>
      </w:r>
    </w:p>
    <w:bookmarkEnd w:id="7"/>
    <w:p>
      <w:pPr>
        <w:spacing w:line="360" w:lineRule="auto"/>
        <w:outlineLvl w:val="0"/>
        <w:rPr>
          <w:rFonts w:ascii="Times New Roman" w:hAnsi="Times New Roman" w:eastAsia="黑体" w:cs="Times New Roman"/>
          <w:b/>
          <w:bCs/>
          <w:sz w:val="32"/>
          <w:szCs w:val="32"/>
        </w:rPr>
      </w:pPr>
      <w:bookmarkStart w:id="10" w:name="_Toc68214196"/>
      <w:r>
        <w:rPr>
          <w:rFonts w:ascii="Times New Roman" w:hAnsi="Times New Roman" w:eastAsia="黑体" w:cs="Times New Roman"/>
          <w:b/>
          <w:bCs/>
          <w:sz w:val="32"/>
          <w:szCs w:val="32"/>
        </w:rPr>
        <w:t>2</w:t>
      </w:r>
      <w:r>
        <w:rPr>
          <w:rFonts w:hint="eastAsia" w:ascii="Times New Roman" w:hAnsi="Times New Roman" w:eastAsia="黑体" w:cs="Times New Roman"/>
          <w:b/>
          <w:bCs/>
          <w:sz w:val="32"/>
          <w:szCs w:val="32"/>
        </w:rPr>
        <w:t>近期实施方案</w:t>
      </w:r>
      <w:r>
        <w:rPr>
          <w:rFonts w:ascii="Times New Roman" w:hAnsi="Times New Roman" w:eastAsia="黑体" w:cs="Times New Roman"/>
          <w:b/>
          <w:bCs/>
          <w:sz w:val="32"/>
          <w:szCs w:val="32"/>
        </w:rPr>
        <w:t>主要内容</w:t>
      </w:r>
      <w:bookmarkEnd w:id="10"/>
    </w:p>
    <w:p>
      <w:pPr>
        <w:spacing w:line="360" w:lineRule="auto"/>
        <w:outlineLvl w:val="1"/>
        <w:rPr>
          <w:rFonts w:ascii="Times New Roman" w:hAnsi="Times New Roman" w:eastAsia="黑体" w:cs="Times New Roman"/>
          <w:b/>
          <w:bCs/>
          <w:sz w:val="30"/>
          <w:szCs w:val="30"/>
        </w:rPr>
      </w:pPr>
      <w:bookmarkStart w:id="11" w:name="_Toc68214197"/>
      <w:r>
        <w:rPr>
          <w:rFonts w:ascii="Times New Roman" w:hAnsi="Times New Roman" w:eastAsia="黑体" w:cs="Times New Roman"/>
          <w:b/>
          <w:bCs/>
          <w:sz w:val="30"/>
          <w:szCs w:val="30"/>
        </w:rPr>
        <w:t>2.1 指标安排</w:t>
      </w:r>
      <w:bookmarkEnd w:id="11"/>
    </w:p>
    <w:p>
      <w:pPr>
        <w:autoSpaceDE w:val="0"/>
        <w:autoSpaceDN w:val="0"/>
        <w:adjustRightInd w:val="0"/>
        <w:spacing w:line="360" w:lineRule="auto"/>
        <w:ind w:firstLine="562" w:firstLineChars="200"/>
        <w:outlineLvl w:val="2"/>
        <w:rPr>
          <w:rFonts w:ascii="Times New Roman" w:hAnsi="Times New Roman" w:eastAsia="黑体" w:cs="Times New Roman"/>
          <w:b/>
          <w:sz w:val="28"/>
        </w:rPr>
      </w:pPr>
      <w:bookmarkStart w:id="12" w:name="_Toc63355204"/>
      <w:bookmarkStart w:id="13" w:name="_Toc68214198"/>
      <w:r>
        <w:rPr>
          <w:rFonts w:ascii="Times New Roman" w:hAnsi="Times New Roman" w:eastAsia="黑体" w:cs="Times New Roman"/>
          <w:b/>
          <w:sz w:val="28"/>
        </w:rPr>
        <w:t>2.1.1 指标</w:t>
      </w:r>
      <w:r>
        <w:rPr>
          <w:rFonts w:hint="eastAsia" w:ascii="Times New Roman" w:hAnsi="Times New Roman" w:eastAsia="黑体" w:cs="Times New Roman"/>
          <w:b/>
          <w:sz w:val="28"/>
        </w:rPr>
        <w:t>下达与安排</w:t>
      </w:r>
      <w:bookmarkEnd w:id="12"/>
      <w:bookmarkEnd w:id="13"/>
    </w:p>
    <w:p>
      <w:pPr>
        <w:widowControl/>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本次实施方案总体围绕建设用地总量和强度双控的目标，优化建设用地结构和布局，提高土地节约集约水平，合理布局城乡建设用地、交通水利及其他用地规模。本次方案仍沿用土地利用总体规划（</w:t>
      </w:r>
      <w:r>
        <w:rPr>
          <w:rFonts w:ascii="Times New Roman" w:hAnsi="Times New Roman" w:eastAsia="仿宋" w:cs="Times New Roman"/>
          <w:sz w:val="28"/>
          <w:szCs w:val="28"/>
        </w:rPr>
        <w:t>2006-2020年</w:t>
      </w:r>
      <w:r>
        <w:rPr>
          <w:rFonts w:hint="eastAsia" w:ascii="Times New Roman" w:hAnsi="Times New Roman" w:eastAsia="仿宋" w:cs="Times New Roman"/>
          <w:sz w:val="28"/>
          <w:szCs w:val="28"/>
        </w:rPr>
        <w:t>）</w:t>
      </w:r>
      <w:r>
        <w:rPr>
          <w:rFonts w:ascii="Times New Roman" w:hAnsi="Times New Roman" w:eastAsia="仿宋" w:cs="Times New Roman"/>
          <w:sz w:val="28"/>
          <w:szCs w:val="28"/>
        </w:rPr>
        <w:t>规划目标</w:t>
      </w:r>
      <w:r>
        <w:rPr>
          <w:rFonts w:hint="eastAsia" w:ascii="Times New Roman" w:hAnsi="Times New Roman" w:eastAsia="仿宋" w:cs="Times New Roman"/>
          <w:sz w:val="28"/>
          <w:szCs w:val="28"/>
        </w:rPr>
        <w:t>确定的各项约束性指标，建设用地总规模为</w:t>
      </w:r>
      <w:r>
        <w:rPr>
          <w:rFonts w:ascii="Times New Roman" w:hAnsi="Times New Roman" w:eastAsia="仿宋" w:cs="Times New Roman"/>
          <w:sz w:val="28"/>
          <w:szCs w:val="28"/>
        </w:rPr>
        <w:t>5548.3464</w:t>
      </w:r>
      <w:r>
        <w:rPr>
          <w:rFonts w:hint="eastAsia" w:ascii="Times New Roman" w:hAnsi="Times New Roman" w:eastAsia="仿宋" w:cs="Times New Roman"/>
          <w:sz w:val="28"/>
          <w:szCs w:val="28"/>
        </w:rPr>
        <w:t>公顷。</w:t>
      </w:r>
    </w:p>
    <w:p>
      <w:pPr>
        <w:autoSpaceDE w:val="0"/>
        <w:autoSpaceDN w:val="0"/>
        <w:adjustRightInd w:val="0"/>
        <w:spacing w:line="360" w:lineRule="auto"/>
        <w:ind w:firstLine="562" w:firstLineChars="200"/>
        <w:outlineLvl w:val="2"/>
        <w:rPr>
          <w:rFonts w:ascii="Times New Roman" w:hAnsi="Times New Roman" w:eastAsia="黑体" w:cs="Times New Roman"/>
          <w:b/>
          <w:sz w:val="28"/>
        </w:rPr>
      </w:pPr>
      <w:bookmarkStart w:id="14" w:name="_Toc63355205"/>
      <w:bookmarkStart w:id="15" w:name="_Toc68214199"/>
      <w:r>
        <w:rPr>
          <w:rFonts w:ascii="Times New Roman" w:hAnsi="Times New Roman" w:eastAsia="黑体" w:cs="Times New Roman"/>
          <w:b/>
          <w:sz w:val="28"/>
        </w:rPr>
        <w:t>2.1.2 约束性指标管控</w:t>
      </w:r>
      <w:bookmarkEnd w:id="14"/>
      <w:bookmarkEnd w:id="15"/>
    </w:p>
    <w:p>
      <w:pPr>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近期实施方案进一步落实建设用地总量与强度双控要求，建设用地规模控制在</w:t>
      </w:r>
      <w:r>
        <w:rPr>
          <w:rFonts w:ascii="Times New Roman" w:hAnsi="Times New Roman" w:eastAsia="仿宋" w:cs="Times New Roman"/>
          <w:sz w:val="28"/>
          <w:szCs w:val="28"/>
        </w:rPr>
        <w:t>5548.3464</w:t>
      </w:r>
      <w:r>
        <w:rPr>
          <w:rFonts w:hint="eastAsia" w:ascii="Times New Roman" w:hAnsi="Times New Roman" w:eastAsia="仿宋" w:cs="Times New Roman"/>
          <w:sz w:val="28"/>
          <w:szCs w:val="28"/>
        </w:rPr>
        <w:t>公顷之内，新增建设用地规模控制在</w:t>
      </w:r>
      <w:r>
        <w:rPr>
          <w:rFonts w:ascii="Times New Roman" w:hAnsi="Times New Roman" w:eastAsia="仿宋" w:cs="Times New Roman"/>
          <w:sz w:val="28"/>
          <w:szCs w:val="28"/>
        </w:rPr>
        <w:t>519.0464</w:t>
      </w:r>
      <w:r>
        <w:rPr>
          <w:rFonts w:hint="eastAsia" w:ascii="Times New Roman" w:hAnsi="Times New Roman" w:eastAsia="仿宋" w:cs="Times New Roman"/>
          <w:sz w:val="28"/>
          <w:szCs w:val="28"/>
        </w:rPr>
        <w:t>公顷之内。</w:t>
      </w:r>
    </w:p>
    <w:p>
      <w:pPr>
        <w:spacing w:before="156" w:beforeLines="50"/>
        <w:ind w:firstLine="482" w:firstLineChars="200"/>
        <w:jc w:val="center"/>
        <w:rPr>
          <w:rFonts w:ascii="Times New Roman" w:hAnsi="Times New Roman" w:eastAsia="仿宋" w:cs="Times New Roman"/>
          <w:b/>
          <w:sz w:val="24"/>
        </w:rPr>
      </w:pPr>
      <w:bookmarkStart w:id="16" w:name="_Hlk65951527"/>
      <w:r>
        <w:rPr>
          <w:rFonts w:hint="eastAsia" w:ascii="Times New Roman" w:hAnsi="Times New Roman" w:eastAsia="仿宋" w:cs="Times New Roman"/>
          <w:b/>
          <w:sz w:val="24"/>
        </w:rPr>
        <w:t>表2</w:t>
      </w:r>
      <w:r>
        <w:rPr>
          <w:rFonts w:ascii="Times New Roman" w:hAnsi="Times New Roman" w:eastAsia="仿宋" w:cs="Times New Roman"/>
          <w:b/>
          <w:sz w:val="24"/>
        </w:rPr>
        <w:t>-</w:t>
      </w:r>
      <w:r>
        <w:rPr>
          <w:rFonts w:hint="eastAsia" w:ascii="Times New Roman" w:hAnsi="Times New Roman" w:eastAsia="仿宋" w:cs="Times New Roman"/>
          <w:b/>
          <w:sz w:val="24"/>
        </w:rPr>
        <w:t>1</w:t>
      </w:r>
      <w:r>
        <w:rPr>
          <w:rFonts w:ascii="Times New Roman" w:hAnsi="Times New Roman" w:eastAsia="仿宋" w:cs="Times New Roman"/>
          <w:b/>
          <w:sz w:val="24"/>
        </w:rPr>
        <w:t xml:space="preserve"> </w:t>
      </w:r>
      <w:r>
        <w:rPr>
          <w:rFonts w:hint="eastAsia" w:ascii="Times New Roman" w:hAnsi="Times New Roman" w:eastAsia="仿宋" w:cs="Times New Roman"/>
          <w:b/>
          <w:sz w:val="24"/>
        </w:rPr>
        <w:t>建邺区近期实施方案主要控制指标表</w:t>
      </w:r>
    </w:p>
    <w:p>
      <w:pPr>
        <w:wordWrap w:val="0"/>
        <w:autoSpaceDE w:val="0"/>
        <w:autoSpaceDN w:val="0"/>
        <w:adjustRightInd w:val="0"/>
        <w:spacing w:line="360" w:lineRule="auto"/>
        <w:ind w:firstLine="480" w:firstLineChars="200"/>
        <w:jc w:val="right"/>
        <w:rPr>
          <w:rFonts w:ascii="Times New Roman" w:hAnsi="Times New Roman" w:eastAsia="仿宋" w:cs="Times New Roman"/>
          <w:sz w:val="24"/>
          <w:szCs w:val="24"/>
        </w:rPr>
      </w:pPr>
      <w:r>
        <w:rPr>
          <w:rFonts w:ascii="Times New Roman" w:hAnsi="Times New Roman" w:eastAsia="仿宋" w:cs="Times New Roman"/>
          <w:sz w:val="24"/>
          <w:szCs w:val="24"/>
        </w:rPr>
        <w:t>单位：公顷</w:t>
      </w:r>
      <w:r>
        <w:rPr>
          <w:rFonts w:hint="eastAsia" w:ascii="Times New Roman" w:hAnsi="Times New Roman" w:eastAsia="仿宋" w:cs="Times New Roman"/>
          <w:sz w:val="24"/>
          <w:szCs w:val="24"/>
        </w:rPr>
        <w:t xml:space="preserve">、平方米/人 </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85"/>
        <w:gridCol w:w="2052"/>
        <w:gridCol w:w="1417"/>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blHeader/>
          <w:jc w:val="center"/>
        </w:trPr>
        <w:tc>
          <w:tcPr>
            <w:tcW w:w="3585" w:type="dxa"/>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指标</w:t>
            </w:r>
          </w:p>
        </w:tc>
        <w:tc>
          <w:tcPr>
            <w:tcW w:w="2052" w:type="dxa"/>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土地利用总体规划</w:t>
            </w:r>
            <w:r>
              <w:rPr>
                <w:rFonts w:hint="eastAsia" w:ascii="Times New Roman" w:hAnsi="Times New Roman" w:eastAsia="仿宋" w:cs="Times New Roman"/>
                <w:b/>
                <w:bCs/>
                <w:color w:val="000000"/>
                <w:kern w:val="0"/>
                <w:sz w:val="22"/>
              </w:rPr>
              <w:t>（2006-</w:t>
            </w:r>
            <w:r>
              <w:rPr>
                <w:rFonts w:ascii="Times New Roman" w:hAnsi="Times New Roman" w:eastAsia="仿宋" w:cs="Times New Roman"/>
                <w:b/>
                <w:bCs/>
                <w:color w:val="000000"/>
                <w:kern w:val="0"/>
                <w:sz w:val="22"/>
              </w:rPr>
              <w:t>2020年</w:t>
            </w:r>
            <w:r>
              <w:rPr>
                <w:rFonts w:hint="eastAsia" w:ascii="Times New Roman" w:hAnsi="Times New Roman" w:eastAsia="仿宋" w:cs="Times New Roman"/>
                <w:b/>
                <w:bCs/>
                <w:color w:val="000000"/>
                <w:kern w:val="0"/>
                <w:sz w:val="22"/>
              </w:rPr>
              <w:t>）</w:t>
            </w:r>
          </w:p>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规划目标</w:t>
            </w:r>
          </w:p>
        </w:tc>
        <w:tc>
          <w:tcPr>
            <w:tcW w:w="1417" w:type="dxa"/>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规划目标</w:t>
            </w:r>
          </w:p>
        </w:tc>
        <w:tc>
          <w:tcPr>
            <w:tcW w:w="1468" w:type="dxa"/>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变化量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耕地保有量</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w:t>
            </w:r>
            <w:r>
              <w:rPr>
                <w:rFonts w:hint="eastAsia" w:ascii="Times New Roman" w:hAnsi="Times New Roman" w:eastAsia="仿宋" w:cs="Times New Roman"/>
                <w:color w:val="000000"/>
                <w:kern w:val="0"/>
                <w:sz w:val="22"/>
              </w:rPr>
              <w:t>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耕地面积</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000000" w:fill="FFFFFF"/>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永久基本农田保护面积</w:t>
            </w:r>
          </w:p>
        </w:tc>
        <w:tc>
          <w:tcPr>
            <w:tcW w:w="2052" w:type="dxa"/>
            <w:shd w:val="clear" w:color="000000" w:fill="FFFFFF"/>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c>
          <w:tcPr>
            <w:tcW w:w="1468" w:type="dxa"/>
            <w:shd w:val="clear" w:color="000000" w:fill="FFFFFF"/>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园地面积</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340.0000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340.0000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林地面积</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130.0000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130.0000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牧草地面积</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建设用地总规模</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5548.3464</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5548.3464</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城乡建设用地规模</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4836.8464</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4836.8464</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城镇工矿用地规模</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4159.6464</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4159.6464</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交通水利及其他用地规模</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711.5000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711.5000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新增建设用地</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519.0464</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519.0464</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新增建设用地占用农用地</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519.0464</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519.0464</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新增建设用地占用耕地</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264.6000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264.6000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土地整治补充耕地义务</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264.6000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264.6000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人均城镇工矿用地</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55.0000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55.0000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新增城乡建设用地上图规模</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517.5464</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517.5464</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其中规划流量指标</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乡村振兴专项流量指标</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新增交通水利及其他用地上图规模</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1.5000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1.5000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建设控制区规模</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bookmarkEnd w:id="16"/>
    </w:tbl>
    <w:p>
      <w:pPr>
        <w:autoSpaceDE w:val="0"/>
        <w:autoSpaceDN w:val="0"/>
        <w:adjustRightInd w:val="0"/>
        <w:spacing w:line="360" w:lineRule="auto"/>
        <w:ind w:firstLine="562" w:firstLineChars="200"/>
        <w:outlineLvl w:val="2"/>
        <w:rPr>
          <w:rFonts w:ascii="Times New Roman" w:hAnsi="Times New Roman" w:eastAsia="黑体" w:cs="Times New Roman"/>
          <w:b/>
          <w:sz w:val="28"/>
        </w:rPr>
      </w:pPr>
      <w:bookmarkStart w:id="17" w:name="_Toc68214200"/>
      <w:r>
        <w:rPr>
          <w:rFonts w:ascii="Times New Roman" w:hAnsi="Times New Roman" w:eastAsia="黑体" w:cs="Times New Roman"/>
          <w:b/>
          <w:sz w:val="28"/>
        </w:rPr>
        <w:t>2.1.</w:t>
      </w:r>
      <w:r>
        <w:rPr>
          <w:rFonts w:hint="eastAsia" w:ascii="Times New Roman" w:hAnsi="Times New Roman" w:eastAsia="黑体" w:cs="Times New Roman"/>
          <w:b/>
          <w:sz w:val="28"/>
        </w:rPr>
        <w:t>3</w:t>
      </w:r>
      <w:r>
        <w:rPr>
          <w:rFonts w:ascii="Times New Roman" w:hAnsi="Times New Roman" w:eastAsia="黑体" w:cs="Times New Roman"/>
          <w:b/>
          <w:sz w:val="28"/>
        </w:rPr>
        <w:t xml:space="preserve"> </w:t>
      </w:r>
      <w:r>
        <w:rPr>
          <w:rFonts w:hint="eastAsia" w:ascii="Times New Roman" w:hAnsi="Times New Roman" w:eastAsia="黑体" w:cs="Times New Roman"/>
          <w:b/>
          <w:sz w:val="28"/>
        </w:rPr>
        <w:t>各街道指标安排</w:t>
      </w:r>
      <w:bookmarkEnd w:id="17"/>
    </w:p>
    <w:p>
      <w:pPr>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近期实施方案在合理利用指标的基础上，按照“优先城市建设、优先产业发展、保障乡镇民生工程与重大基础设施”的原则，调整各类建设用地结构与布局。</w:t>
      </w:r>
    </w:p>
    <w:p>
      <w:pPr>
        <w:autoSpaceDE w:val="0"/>
        <w:autoSpaceDN w:val="0"/>
        <w:adjustRightInd w:val="0"/>
        <w:spacing w:line="360" w:lineRule="auto"/>
        <w:ind w:firstLine="480" w:firstLineChars="200"/>
        <w:jc w:val="right"/>
        <w:rPr>
          <w:rFonts w:ascii="Times New Roman" w:hAnsi="Times New Roman" w:eastAsia="仿宋" w:cs="Times New Roman"/>
          <w:sz w:val="24"/>
          <w:szCs w:val="24"/>
        </w:rPr>
        <w:sectPr>
          <w:footerReference r:id="rId7" w:type="default"/>
          <w:pgSz w:w="11906" w:h="16838"/>
          <w:pgMar w:top="1440" w:right="1800" w:bottom="1440" w:left="1800" w:header="851" w:footer="992" w:gutter="0"/>
          <w:pgNumType w:start="1"/>
          <w:cols w:space="425" w:num="1"/>
          <w:docGrid w:type="lines" w:linePitch="312" w:charSpace="0"/>
        </w:sectPr>
      </w:pPr>
    </w:p>
    <w:p>
      <w:pPr>
        <w:spacing w:before="156" w:beforeLines="50"/>
        <w:ind w:firstLine="482" w:firstLineChars="200"/>
        <w:jc w:val="center"/>
        <w:rPr>
          <w:rFonts w:ascii="Times New Roman" w:hAnsi="Times New Roman" w:eastAsia="仿宋" w:cs="Times New Roman"/>
          <w:b/>
          <w:sz w:val="24"/>
        </w:rPr>
      </w:pPr>
      <w:r>
        <w:rPr>
          <w:rFonts w:hint="eastAsia" w:ascii="Times New Roman" w:hAnsi="Times New Roman" w:eastAsia="仿宋" w:cs="Times New Roman"/>
          <w:b/>
          <w:sz w:val="24"/>
        </w:rPr>
        <w:t>表</w:t>
      </w:r>
      <w:r>
        <w:rPr>
          <w:rFonts w:ascii="Times New Roman" w:hAnsi="Times New Roman" w:eastAsia="仿宋" w:cs="Times New Roman"/>
          <w:b/>
          <w:sz w:val="24"/>
        </w:rPr>
        <w:t>2-2 建邺区各街道</w:t>
      </w:r>
      <w:r>
        <w:rPr>
          <w:rFonts w:hint="eastAsia" w:ascii="Times New Roman" w:hAnsi="Times New Roman" w:eastAsia="仿宋" w:cs="Times New Roman"/>
          <w:b/>
          <w:sz w:val="24"/>
        </w:rPr>
        <w:t>指标安排</w:t>
      </w:r>
      <w:r>
        <w:rPr>
          <w:rFonts w:ascii="Times New Roman" w:hAnsi="Times New Roman" w:eastAsia="仿宋" w:cs="Times New Roman"/>
          <w:b/>
          <w:sz w:val="24"/>
        </w:rPr>
        <w:t>表</w:t>
      </w:r>
    </w:p>
    <w:p>
      <w:pPr>
        <w:autoSpaceDE w:val="0"/>
        <w:autoSpaceDN w:val="0"/>
        <w:adjustRightInd w:val="0"/>
        <w:spacing w:line="360" w:lineRule="auto"/>
        <w:ind w:firstLine="480" w:firstLineChars="200"/>
        <w:jc w:val="right"/>
        <w:rPr>
          <w:rFonts w:ascii="Times New Roman" w:hAnsi="Times New Roman" w:eastAsia="仿宋" w:cs="Times New Roman"/>
          <w:sz w:val="24"/>
          <w:szCs w:val="24"/>
        </w:rPr>
      </w:pPr>
      <w:r>
        <w:rPr>
          <w:rFonts w:hint="eastAsia" w:ascii="Times New Roman" w:hAnsi="Times New Roman" w:eastAsia="仿宋" w:cs="Times New Roman"/>
          <w:sz w:val="24"/>
          <w:szCs w:val="24"/>
        </w:rPr>
        <w:t>单位：公顷、平方米/人</w:t>
      </w:r>
    </w:p>
    <w:tbl>
      <w:tblPr>
        <w:tblStyle w:val="14"/>
        <w:tblW w:w="5597" w:type="pct"/>
        <w:jc w:val="center"/>
        <w:tblLayout w:type="autofit"/>
        <w:tblCellMar>
          <w:top w:w="0" w:type="dxa"/>
          <w:left w:w="108" w:type="dxa"/>
          <w:bottom w:w="0" w:type="dxa"/>
          <w:right w:w="108" w:type="dxa"/>
        </w:tblCellMar>
      </w:tblPr>
      <w:tblGrid>
        <w:gridCol w:w="855"/>
        <w:gridCol w:w="794"/>
        <w:gridCol w:w="794"/>
        <w:gridCol w:w="794"/>
        <w:gridCol w:w="794"/>
        <w:gridCol w:w="1144"/>
        <w:gridCol w:w="1147"/>
        <w:gridCol w:w="1109"/>
        <w:gridCol w:w="1007"/>
        <w:gridCol w:w="1004"/>
        <w:gridCol w:w="1004"/>
        <w:gridCol w:w="794"/>
        <w:gridCol w:w="1029"/>
        <w:gridCol w:w="1002"/>
        <w:gridCol w:w="795"/>
        <w:gridCol w:w="795"/>
        <w:gridCol w:w="1005"/>
      </w:tblGrid>
      <w:tr>
        <w:tblPrEx>
          <w:tblCellMar>
            <w:top w:w="0" w:type="dxa"/>
            <w:left w:w="108" w:type="dxa"/>
            <w:bottom w:w="0" w:type="dxa"/>
            <w:right w:w="108" w:type="dxa"/>
          </w:tblCellMar>
        </w:tblPrEx>
        <w:trPr>
          <w:trHeight w:val="499" w:hRule="atLeast"/>
          <w:jc w:val="center"/>
        </w:trPr>
        <w:tc>
          <w:tcPr>
            <w:tcW w:w="27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行政区名称</w:t>
            </w:r>
          </w:p>
        </w:tc>
        <w:tc>
          <w:tcPr>
            <w:tcW w:w="500"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耕地保有量</w:t>
            </w:r>
          </w:p>
        </w:tc>
        <w:tc>
          <w:tcPr>
            <w:tcW w:w="500"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永久</w:t>
            </w:r>
            <w:r>
              <w:rPr>
                <w:rFonts w:ascii="Times New Roman" w:hAnsi="Times New Roman" w:eastAsia="仿宋" w:cs="Times New Roman"/>
                <w:b/>
                <w:bCs/>
                <w:color w:val="000000"/>
                <w:kern w:val="0"/>
                <w:szCs w:val="21"/>
              </w:rPr>
              <w:t>基本农田保护面积</w:t>
            </w:r>
          </w:p>
        </w:tc>
        <w:tc>
          <w:tcPr>
            <w:tcW w:w="1389" w:type="pct"/>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建设用地</w:t>
            </w:r>
          </w:p>
        </w:tc>
        <w:tc>
          <w:tcPr>
            <w:tcW w:w="1207" w:type="pct"/>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新增建设用地</w:t>
            </w:r>
          </w:p>
        </w:tc>
        <w:tc>
          <w:tcPr>
            <w:tcW w:w="31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人均城镇工矿用地</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规划流量指标</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建设控制区</w:t>
            </w:r>
          </w:p>
        </w:tc>
        <w:tc>
          <w:tcPr>
            <w:tcW w:w="31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土地整治补充耕地义务</w:t>
            </w:r>
          </w:p>
        </w:tc>
      </w:tr>
      <w:tr>
        <w:tblPrEx>
          <w:tblCellMar>
            <w:top w:w="0" w:type="dxa"/>
            <w:left w:w="108" w:type="dxa"/>
            <w:bottom w:w="0" w:type="dxa"/>
            <w:right w:w="108" w:type="dxa"/>
          </w:tblCellMar>
        </w:tblPrEx>
        <w:trPr>
          <w:trHeight w:val="1050" w:hRule="atLeast"/>
          <w:jc w:val="center"/>
        </w:trPr>
        <w:tc>
          <w:tcPr>
            <w:tcW w:w="270"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color w:val="000000"/>
                <w:kern w:val="0"/>
                <w:szCs w:val="21"/>
              </w:rPr>
            </w:pP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面积</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耕地</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面积</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耕地</w:t>
            </w:r>
          </w:p>
        </w:tc>
        <w:tc>
          <w:tcPr>
            <w:tcW w:w="36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建设用地总量</w:t>
            </w:r>
          </w:p>
        </w:tc>
        <w:tc>
          <w:tcPr>
            <w:tcW w:w="36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城乡建设用地</w:t>
            </w:r>
          </w:p>
        </w:tc>
        <w:tc>
          <w:tcPr>
            <w:tcW w:w="34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城镇工矿用地</w:t>
            </w:r>
          </w:p>
        </w:tc>
        <w:tc>
          <w:tcPr>
            <w:tcW w:w="318"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交通水利及其他用地</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面积</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新增城乡建设用地</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新增交通水利及其他用地</w:t>
            </w:r>
          </w:p>
        </w:tc>
        <w:tc>
          <w:tcPr>
            <w:tcW w:w="324"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占用耕地</w:t>
            </w:r>
          </w:p>
        </w:tc>
        <w:tc>
          <w:tcPr>
            <w:tcW w:w="316"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color w:val="000000"/>
                <w:kern w:val="0"/>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color w:val="000000"/>
                <w:kern w:val="0"/>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color w:val="000000"/>
                <w:kern w:val="0"/>
                <w:szCs w:val="21"/>
              </w:rPr>
            </w:pPr>
          </w:p>
        </w:tc>
        <w:tc>
          <w:tcPr>
            <w:tcW w:w="316"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color w:val="000000"/>
                <w:kern w:val="0"/>
                <w:szCs w:val="21"/>
              </w:rPr>
            </w:pPr>
          </w:p>
        </w:tc>
      </w:tr>
      <w:tr>
        <w:tblPrEx>
          <w:tblCellMar>
            <w:top w:w="0" w:type="dxa"/>
            <w:left w:w="108" w:type="dxa"/>
            <w:bottom w:w="0" w:type="dxa"/>
            <w:right w:w="108" w:type="dxa"/>
          </w:tblCellMar>
        </w:tblPrEx>
        <w:trPr>
          <w:trHeight w:val="499" w:hRule="atLeast"/>
          <w:jc w:val="center"/>
        </w:trPr>
        <w:tc>
          <w:tcPr>
            <w:tcW w:w="2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江心洲街道</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6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1043.3000</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904.6000</w:t>
            </w:r>
          </w:p>
        </w:tc>
        <w:tc>
          <w:tcPr>
            <w:tcW w:w="349"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809.6000</w:t>
            </w:r>
          </w:p>
        </w:tc>
        <w:tc>
          <w:tcPr>
            <w:tcW w:w="31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138.7000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400.0000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398.7000 </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1.3000 </w:t>
            </w:r>
          </w:p>
        </w:tc>
        <w:tc>
          <w:tcPr>
            <w:tcW w:w="32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264.6000</w:t>
            </w:r>
          </w:p>
        </w:tc>
        <w:tc>
          <w:tcPr>
            <w:tcW w:w="316" w:type="pct"/>
            <w:vMerge w:val="restart"/>
            <w:tcBorders>
              <w:top w:val="single" w:color="auto" w:sz="4" w:space="0"/>
              <w:left w:val="nil"/>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55</w:t>
            </w:r>
            <w:r>
              <w:rPr>
                <w:rFonts w:ascii="Times New Roman" w:hAnsi="Times New Roman" w:eastAsia="仿宋" w:cs="Times New Roman"/>
                <w:color w:val="000000"/>
                <w:kern w:val="0"/>
                <w:szCs w:val="21"/>
              </w:rPr>
              <w:t>.0000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264.6000</w:t>
            </w:r>
          </w:p>
        </w:tc>
      </w:tr>
      <w:tr>
        <w:tblPrEx>
          <w:tblCellMar>
            <w:top w:w="0" w:type="dxa"/>
            <w:left w:w="108" w:type="dxa"/>
            <w:bottom w:w="0" w:type="dxa"/>
            <w:right w:w="108" w:type="dxa"/>
          </w:tblCellMar>
        </w:tblPrEx>
        <w:trPr>
          <w:trHeight w:val="499" w:hRule="atLeast"/>
          <w:jc w:val="center"/>
        </w:trPr>
        <w:tc>
          <w:tcPr>
            <w:tcW w:w="2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莫愁湖街道</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6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442.2780</w:t>
            </w:r>
          </w:p>
        </w:tc>
        <w:tc>
          <w:tcPr>
            <w:tcW w:w="36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407.9342</w:t>
            </w:r>
          </w:p>
        </w:tc>
        <w:tc>
          <w:tcPr>
            <w:tcW w:w="34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400.4111</w:t>
            </w:r>
          </w:p>
        </w:tc>
        <w:tc>
          <w:tcPr>
            <w:tcW w:w="318"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34.3438</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0.0000 </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2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vMerge w:val="continue"/>
            <w:tcBorders>
              <w:left w:val="nil"/>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r>
      <w:tr>
        <w:tblPrEx>
          <w:tblCellMar>
            <w:top w:w="0" w:type="dxa"/>
            <w:left w:w="108" w:type="dxa"/>
            <w:bottom w:w="0" w:type="dxa"/>
            <w:right w:w="108" w:type="dxa"/>
          </w:tblCellMar>
        </w:tblPrEx>
        <w:trPr>
          <w:trHeight w:val="499" w:hRule="atLeast"/>
          <w:jc w:val="center"/>
        </w:trPr>
        <w:tc>
          <w:tcPr>
            <w:tcW w:w="2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南苑街道</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6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584.0139</w:t>
            </w:r>
          </w:p>
        </w:tc>
        <w:tc>
          <w:tcPr>
            <w:tcW w:w="36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547.8868</w:t>
            </w:r>
          </w:p>
        </w:tc>
        <w:tc>
          <w:tcPr>
            <w:tcW w:w="34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536.2721</w:t>
            </w:r>
          </w:p>
        </w:tc>
        <w:tc>
          <w:tcPr>
            <w:tcW w:w="318"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36.1271</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0.0069</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0.0029 </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0.0040 </w:t>
            </w:r>
          </w:p>
        </w:tc>
        <w:tc>
          <w:tcPr>
            <w:tcW w:w="32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vMerge w:val="continue"/>
            <w:tcBorders>
              <w:left w:val="nil"/>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r>
      <w:tr>
        <w:tblPrEx>
          <w:tblCellMar>
            <w:top w:w="0" w:type="dxa"/>
            <w:left w:w="108" w:type="dxa"/>
            <w:bottom w:w="0" w:type="dxa"/>
            <w:right w:w="108" w:type="dxa"/>
          </w:tblCellMar>
        </w:tblPrEx>
        <w:trPr>
          <w:trHeight w:val="499" w:hRule="atLeast"/>
          <w:jc w:val="center"/>
        </w:trPr>
        <w:tc>
          <w:tcPr>
            <w:tcW w:w="2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沙洲街道</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6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1077.3334</w:t>
            </w:r>
          </w:p>
        </w:tc>
        <w:tc>
          <w:tcPr>
            <w:tcW w:w="36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935.0952</w:t>
            </w:r>
          </w:p>
        </w:tc>
        <w:tc>
          <w:tcPr>
            <w:tcW w:w="34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847.8990</w:t>
            </w:r>
          </w:p>
        </w:tc>
        <w:tc>
          <w:tcPr>
            <w:tcW w:w="318"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142.2382</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22.5613</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22.5243 </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0.0370 </w:t>
            </w:r>
          </w:p>
        </w:tc>
        <w:tc>
          <w:tcPr>
            <w:tcW w:w="32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vMerge w:val="continue"/>
            <w:tcBorders>
              <w:left w:val="nil"/>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r>
      <w:tr>
        <w:tblPrEx>
          <w:tblCellMar>
            <w:top w:w="0" w:type="dxa"/>
            <w:left w:w="108" w:type="dxa"/>
            <w:bottom w:w="0" w:type="dxa"/>
            <w:right w:w="108" w:type="dxa"/>
          </w:tblCellMar>
        </w:tblPrEx>
        <w:trPr>
          <w:trHeight w:val="499" w:hRule="atLeast"/>
          <w:jc w:val="center"/>
        </w:trPr>
        <w:tc>
          <w:tcPr>
            <w:tcW w:w="2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双闸街道</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6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1371.0821</w:t>
            </w:r>
          </w:p>
        </w:tc>
        <w:tc>
          <w:tcPr>
            <w:tcW w:w="36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1141.5146</w:t>
            </w:r>
          </w:p>
        </w:tc>
        <w:tc>
          <w:tcPr>
            <w:tcW w:w="34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738.0979</w:t>
            </w:r>
          </w:p>
        </w:tc>
        <w:tc>
          <w:tcPr>
            <w:tcW w:w="318"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229.5675</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93.0199</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92.8749 </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0.1450 </w:t>
            </w:r>
          </w:p>
        </w:tc>
        <w:tc>
          <w:tcPr>
            <w:tcW w:w="32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vMerge w:val="continue"/>
            <w:tcBorders>
              <w:left w:val="nil"/>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r>
      <w:tr>
        <w:tblPrEx>
          <w:tblCellMar>
            <w:top w:w="0" w:type="dxa"/>
            <w:left w:w="108" w:type="dxa"/>
            <w:bottom w:w="0" w:type="dxa"/>
            <w:right w:w="108" w:type="dxa"/>
          </w:tblCellMar>
        </w:tblPrEx>
        <w:trPr>
          <w:trHeight w:val="499" w:hRule="atLeast"/>
          <w:jc w:val="center"/>
        </w:trPr>
        <w:tc>
          <w:tcPr>
            <w:tcW w:w="2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兴隆街道</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6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1030.3390</w:t>
            </w:r>
          </w:p>
        </w:tc>
        <w:tc>
          <w:tcPr>
            <w:tcW w:w="36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899.8156</w:t>
            </w:r>
          </w:p>
        </w:tc>
        <w:tc>
          <w:tcPr>
            <w:tcW w:w="34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827.3663</w:t>
            </w:r>
          </w:p>
        </w:tc>
        <w:tc>
          <w:tcPr>
            <w:tcW w:w="318"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130.5234</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3.4583</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3.4443 </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0.0140 </w:t>
            </w:r>
          </w:p>
        </w:tc>
        <w:tc>
          <w:tcPr>
            <w:tcW w:w="32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vMerge w:val="continue"/>
            <w:tcBorders>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r>
      <w:tr>
        <w:tblPrEx>
          <w:tblCellMar>
            <w:top w:w="0" w:type="dxa"/>
            <w:left w:w="108" w:type="dxa"/>
            <w:bottom w:w="0" w:type="dxa"/>
            <w:right w:w="108" w:type="dxa"/>
          </w:tblCellMar>
        </w:tblPrEx>
        <w:trPr>
          <w:trHeight w:val="499" w:hRule="atLeast"/>
          <w:jc w:val="center"/>
        </w:trPr>
        <w:tc>
          <w:tcPr>
            <w:tcW w:w="2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合计</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0.0000</w:t>
            </w:r>
          </w:p>
        </w:tc>
        <w:tc>
          <w:tcPr>
            <w:tcW w:w="36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5548.3464</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4836.8464</w:t>
            </w:r>
          </w:p>
        </w:tc>
        <w:tc>
          <w:tcPr>
            <w:tcW w:w="349"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4159.6464</w:t>
            </w:r>
          </w:p>
        </w:tc>
        <w:tc>
          <w:tcPr>
            <w:tcW w:w="31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711.5000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519.0464</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517.5464</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1.5000</w:t>
            </w:r>
          </w:p>
        </w:tc>
        <w:tc>
          <w:tcPr>
            <w:tcW w:w="32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264.6000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55.0000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0.0000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264.6000</w:t>
            </w:r>
          </w:p>
        </w:tc>
      </w:tr>
    </w:tbl>
    <w:p>
      <w:pPr>
        <w:autoSpaceDE w:val="0"/>
        <w:autoSpaceDN w:val="0"/>
        <w:adjustRightInd w:val="0"/>
        <w:spacing w:line="360" w:lineRule="auto"/>
        <w:ind w:firstLine="480" w:firstLineChars="200"/>
        <w:jc w:val="right"/>
        <w:rPr>
          <w:rFonts w:ascii="Times New Roman" w:hAnsi="Times New Roman" w:eastAsia="仿宋" w:cs="Times New Roman"/>
          <w:sz w:val="24"/>
          <w:szCs w:val="24"/>
        </w:rPr>
      </w:pPr>
    </w:p>
    <w:p>
      <w:pPr>
        <w:autoSpaceDE w:val="0"/>
        <w:autoSpaceDN w:val="0"/>
        <w:adjustRightInd w:val="0"/>
        <w:spacing w:line="360" w:lineRule="auto"/>
        <w:ind w:firstLine="480" w:firstLineChars="200"/>
        <w:jc w:val="right"/>
        <w:rPr>
          <w:rFonts w:ascii="Times New Roman" w:hAnsi="Times New Roman" w:eastAsia="仿宋" w:cs="Times New Roman"/>
          <w:sz w:val="24"/>
          <w:szCs w:val="24"/>
        </w:rPr>
        <w:sectPr>
          <w:footerReference r:id="rId8" w:type="default"/>
          <w:pgSz w:w="16838" w:h="11906" w:orient="landscape"/>
          <w:pgMar w:top="1800" w:right="1440" w:bottom="1800" w:left="1440" w:header="851" w:footer="992" w:gutter="0"/>
          <w:cols w:space="425" w:num="1"/>
          <w:docGrid w:type="lines" w:linePitch="312" w:charSpace="0"/>
        </w:sectPr>
      </w:pPr>
    </w:p>
    <w:p>
      <w:pPr>
        <w:spacing w:line="360" w:lineRule="auto"/>
        <w:outlineLvl w:val="1"/>
        <w:rPr>
          <w:rFonts w:ascii="Times New Roman" w:hAnsi="Times New Roman" w:eastAsia="黑体" w:cs="Times New Roman"/>
          <w:b/>
          <w:bCs/>
          <w:sz w:val="30"/>
          <w:szCs w:val="30"/>
        </w:rPr>
      </w:pPr>
      <w:bookmarkStart w:id="18" w:name="_Toc68214201"/>
      <w:r>
        <w:rPr>
          <w:rFonts w:ascii="Times New Roman" w:hAnsi="Times New Roman" w:eastAsia="黑体" w:cs="Times New Roman"/>
          <w:b/>
          <w:bCs/>
          <w:sz w:val="30"/>
          <w:szCs w:val="30"/>
        </w:rPr>
        <w:t>2.2 建设用地布局</w:t>
      </w:r>
      <w:bookmarkEnd w:id="18"/>
    </w:p>
    <w:p>
      <w:pPr>
        <w:autoSpaceDE w:val="0"/>
        <w:autoSpaceDN w:val="0"/>
        <w:adjustRightInd w:val="0"/>
        <w:spacing w:line="360" w:lineRule="auto"/>
        <w:ind w:firstLine="562" w:firstLineChars="200"/>
        <w:outlineLvl w:val="2"/>
        <w:rPr>
          <w:rFonts w:ascii="Times New Roman" w:hAnsi="Times New Roman" w:eastAsia="黑体" w:cs="Times New Roman"/>
          <w:b/>
          <w:bCs/>
          <w:sz w:val="28"/>
        </w:rPr>
      </w:pPr>
      <w:bookmarkStart w:id="19" w:name="_Toc68214202"/>
      <w:r>
        <w:rPr>
          <w:rFonts w:hint="eastAsia" w:ascii="Times New Roman" w:hAnsi="Times New Roman" w:eastAsia="黑体" w:cs="Times New Roman"/>
          <w:b/>
          <w:bCs/>
          <w:sz w:val="28"/>
        </w:rPr>
        <w:t>2.2.1</w:t>
      </w:r>
      <w:r>
        <w:rPr>
          <w:rFonts w:ascii="Times New Roman" w:hAnsi="Times New Roman" w:eastAsia="黑体" w:cs="Times New Roman"/>
          <w:b/>
          <w:bCs/>
          <w:sz w:val="28"/>
        </w:rPr>
        <w:t xml:space="preserve"> </w:t>
      </w:r>
      <w:r>
        <w:rPr>
          <w:rFonts w:hint="eastAsia" w:ascii="Times New Roman" w:hAnsi="Times New Roman" w:eastAsia="黑体" w:cs="Times New Roman"/>
          <w:b/>
          <w:bCs/>
          <w:sz w:val="28"/>
        </w:rPr>
        <w:t>新增建设用地布局</w:t>
      </w:r>
      <w:bookmarkEnd w:id="19"/>
    </w:p>
    <w:p>
      <w:pPr>
        <w:widowControl/>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围绕南京市“创新名城、美丽古都”的总体部署，按照“高质量发展、高品质生活、高起点创新、高水平开放、高效能治理”的发展思路，努力谱写“强富美高”建邺新篇章。近期实施方案编制以优化区域国土空间格局为导向，聚焦重点保障重点区域、聚焦保障基础设施用地、聚焦保障民生工程用地，在严控建设用地总量和强度的前提下，优化建设用地布局，统筹安排规划建设用地的实施时序。</w:t>
      </w:r>
    </w:p>
    <w:p>
      <w:pPr>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江心洲生态科技岛围绕“生态、低碳、科技、智慧”的发展理念，充分发挥中新政府合作项目优势，以发展人工智能和生态环保产业为核心，以智能交通示范和生态文明实践为突破，以产业高度集约化、集群化发展为手段，以经开区体制改革为契机，不断助推生态科技岛高质量发展。本次实施方案中安排</w:t>
      </w:r>
      <w:r>
        <w:rPr>
          <w:rFonts w:ascii="Times New Roman" w:hAnsi="Times New Roman" w:eastAsia="仿宋" w:cs="Times New Roman"/>
          <w:sz w:val="28"/>
          <w:szCs w:val="28"/>
        </w:rPr>
        <w:t>新增建设用地面积为2.6310公顷</w:t>
      </w:r>
      <w:r>
        <w:rPr>
          <w:rFonts w:hint="eastAsia" w:ascii="Times New Roman" w:hAnsi="Times New Roman" w:eastAsia="仿宋" w:cs="Times New Roman"/>
          <w:sz w:val="28"/>
          <w:szCs w:val="28"/>
        </w:rPr>
        <w:t>，保障了道路交通、变电站等基础设施项目需求。</w:t>
      </w:r>
    </w:p>
    <w:p>
      <w:pPr>
        <w:spacing w:line="360" w:lineRule="auto"/>
        <w:jc w:val="center"/>
        <w:rPr>
          <w:rFonts w:ascii="Times New Roman" w:hAnsi="Times New Roman" w:eastAsia="仿宋_GB2312" w:cs="Times New Roman"/>
          <w:sz w:val="28"/>
          <w:szCs w:val="28"/>
        </w:rPr>
      </w:pPr>
      <w:r>
        <w:drawing>
          <wp:inline distT="0" distB="0" distL="0" distR="0">
            <wp:extent cx="3599815" cy="4042410"/>
            <wp:effectExtent l="19050" t="19050" r="19685" b="152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3600000" cy="4042800"/>
                    </a:xfrm>
                    <a:prstGeom prst="rect">
                      <a:avLst/>
                    </a:prstGeom>
                    <a:ln>
                      <a:solidFill>
                        <a:schemeClr val="bg1">
                          <a:lumMod val="50000"/>
                        </a:schemeClr>
                      </a:solidFill>
                    </a:ln>
                  </pic:spPr>
                </pic:pic>
              </a:graphicData>
            </a:graphic>
          </wp:inline>
        </w:drawing>
      </w:r>
    </w:p>
    <w:p>
      <w:pPr>
        <w:spacing w:before="156" w:beforeLines="50" w:after="156" w:afterLines="50"/>
        <w:jc w:val="center"/>
        <w:rPr>
          <w:rFonts w:ascii="Times New Roman" w:hAnsi="Times New Roman" w:eastAsia="仿宋" w:cs="Times New Roman"/>
          <w:b/>
          <w:sz w:val="24"/>
        </w:rPr>
      </w:pPr>
      <w:r>
        <w:rPr>
          <w:rFonts w:hint="eastAsia" w:ascii="Times New Roman" w:hAnsi="Times New Roman" w:eastAsia="仿宋" w:cs="Times New Roman"/>
          <w:b/>
          <w:sz w:val="24"/>
        </w:rPr>
        <w:t>图2</w:t>
      </w:r>
      <w:r>
        <w:rPr>
          <w:rFonts w:ascii="Times New Roman" w:hAnsi="Times New Roman" w:eastAsia="仿宋" w:cs="Times New Roman"/>
          <w:b/>
          <w:sz w:val="24"/>
        </w:rPr>
        <w:t>-</w:t>
      </w:r>
      <w:r>
        <w:rPr>
          <w:rFonts w:hint="eastAsia" w:ascii="Times New Roman" w:hAnsi="Times New Roman" w:eastAsia="仿宋" w:cs="Times New Roman"/>
          <w:b/>
          <w:sz w:val="24"/>
        </w:rPr>
        <w:t>1</w:t>
      </w:r>
      <w:r>
        <w:rPr>
          <w:rFonts w:ascii="Times New Roman" w:hAnsi="Times New Roman" w:eastAsia="仿宋" w:cs="Times New Roman"/>
          <w:b/>
          <w:sz w:val="24"/>
        </w:rPr>
        <w:t xml:space="preserve"> </w:t>
      </w:r>
      <w:r>
        <w:rPr>
          <w:rFonts w:hint="eastAsia" w:ascii="Times New Roman" w:hAnsi="Times New Roman" w:eastAsia="仿宋" w:cs="Times New Roman"/>
          <w:b/>
          <w:sz w:val="24"/>
        </w:rPr>
        <w:t>新增建设用地布局</w:t>
      </w:r>
      <w:r>
        <w:rPr>
          <w:rFonts w:ascii="Times New Roman" w:hAnsi="Times New Roman" w:eastAsia="仿宋" w:cs="Times New Roman"/>
          <w:b/>
          <w:sz w:val="24"/>
        </w:rPr>
        <w:t>图</w:t>
      </w:r>
    </w:p>
    <w:p>
      <w:pPr>
        <w:autoSpaceDE w:val="0"/>
        <w:autoSpaceDN w:val="0"/>
        <w:adjustRightInd w:val="0"/>
        <w:spacing w:line="360" w:lineRule="auto"/>
        <w:ind w:firstLine="562" w:firstLineChars="200"/>
        <w:outlineLvl w:val="2"/>
        <w:rPr>
          <w:rFonts w:ascii="Times New Roman" w:hAnsi="Times New Roman" w:eastAsia="黑体" w:cs="Times New Roman"/>
          <w:b/>
          <w:bCs/>
          <w:sz w:val="28"/>
        </w:rPr>
      </w:pPr>
      <w:bookmarkStart w:id="20" w:name="_Toc68214203"/>
      <w:r>
        <w:rPr>
          <w:rFonts w:ascii="Times New Roman" w:hAnsi="Times New Roman" w:eastAsia="黑体" w:cs="Times New Roman"/>
          <w:b/>
          <w:bCs/>
          <w:sz w:val="28"/>
        </w:rPr>
        <w:t>2.2.</w:t>
      </w:r>
      <w:r>
        <w:rPr>
          <w:rFonts w:hint="eastAsia" w:ascii="Times New Roman" w:hAnsi="Times New Roman" w:eastAsia="黑体" w:cs="Times New Roman"/>
          <w:b/>
          <w:bCs/>
          <w:sz w:val="28"/>
        </w:rPr>
        <w:t>2</w:t>
      </w:r>
      <w:r>
        <w:rPr>
          <w:rFonts w:ascii="Times New Roman" w:hAnsi="Times New Roman" w:eastAsia="黑体" w:cs="Times New Roman"/>
          <w:b/>
          <w:bCs/>
          <w:sz w:val="28"/>
        </w:rPr>
        <w:t xml:space="preserve"> 建设用地管制区</w:t>
      </w:r>
      <w:bookmarkEnd w:id="20"/>
    </w:p>
    <w:p>
      <w:pPr>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全区共规划允许建设区</w:t>
      </w:r>
      <w:r>
        <w:rPr>
          <w:rFonts w:ascii="Times New Roman" w:hAnsi="Times New Roman" w:eastAsia="仿宋" w:cs="Times New Roman"/>
          <w:sz w:val="28"/>
          <w:szCs w:val="28"/>
        </w:rPr>
        <w:t>5548.4796公顷，布局严格遵循集中布局、集聚建设的原则。规划有条件建设区572.4148公顷，限制建设区737.8182公顷，禁止建设区1434.037</w:t>
      </w:r>
      <w:r>
        <w:rPr>
          <w:rFonts w:hint="eastAsia" w:ascii="Times New Roman" w:hAnsi="Times New Roman" w:eastAsia="仿宋" w:cs="Times New Roman"/>
          <w:sz w:val="28"/>
          <w:szCs w:val="28"/>
        </w:rPr>
        <w:t>4</w:t>
      </w:r>
      <w:r>
        <w:rPr>
          <w:rFonts w:ascii="Times New Roman" w:hAnsi="Times New Roman" w:eastAsia="仿宋" w:cs="Times New Roman"/>
          <w:sz w:val="28"/>
          <w:szCs w:val="28"/>
        </w:rPr>
        <w:t>公顷。</w:t>
      </w:r>
    </w:p>
    <w:p>
      <w:pPr>
        <w:autoSpaceDE w:val="0"/>
        <w:autoSpaceDN w:val="0"/>
        <w:adjustRightInd w:val="0"/>
        <w:spacing w:line="360" w:lineRule="auto"/>
        <w:ind w:firstLine="562" w:firstLineChars="200"/>
        <w:outlineLvl w:val="2"/>
        <w:rPr>
          <w:rFonts w:ascii="Times New Roman" w:hAnsi="Times New Roman" w:eastAsia="黑体" w:cs="Times New Roman"/>
          <w:b/>
          <w:bCs/>
          <w:sz w:val="28"/>
        </w:rPr>
      </w:pPr>
      <w:bookmarkStart w:id="21" w:name="_Toc68214204"/>
      <w:r>
        <w:rPr>
          <w:rFonts w:ascii="Times New Roman" w:hAnsi="Times New Roman" w:eastAsia="黑体" w:cs="Times New Roman"/>
          <w:b/>
          <w:bCs/>
          <w:sz w:val="28"/>
        </w:rPr>
        <w:t>2.2.</w:t>
      </w:r>
      <w:r>
        <w:rPr>
          <w:rFonts w:hint="eastAsia" w:ascii="Times New Roman" w:hAnsi="Times New Roman" w:eastAsia="黑体" w:cs="Times New Roman"/>
          <w:b/>
          <w:bCs/>
          <w:sz w:val="28"/>
        </w:rPr>
        <w:t>3</w:t>
      </w:r>
      <w:r>
        <w:rPr>
          <w:rFonts w:ascii="Times New Roman" w:hAnsi="Times New Roman" w:eastAsia="黑体" w:cs="Times New Roman"/>
          <w:b/>
          <w:bCs/>
          <w:sz w:val="28"/>
        </w:rPr>
        <w:t xml:space="preserve"> 土地用途区</w:t>
      </w:r>
      <w:bookmarkEnd w:id="21"/>
    </w:p>
    <w:p>
      <w:pPr>
        <w:widowControl/>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全区共规划一般农地区</w:t>
      </w:r>
      <w:r>
        <w:rPr>
          <w:rFonts w:ascii="Times New Roman" w:hAnsi="Times New Roman" w:eastAsia="仿宋" w:cs="Times New Roman"/>
          <w:sz w:val="28"/>
          <w:szCs w:val="28"/>
        </w:rPr>
        <w:t>485.4567</w:t>
      </w:r>
      <w:r>
        <w:rPr>
          <w:rFonts w:hint="eastAsia" w:ascii="Times New Roman" w:hAnsi="Times New Roman" w:eastAsia="仿宋" w:cs="Times New Roman"/>
          <w:sz w:val="28"/>
          <w:szCs w:val="28"/>
        </w:rPr>
        <w:t>公顷，城镇建设用地区</w:t>
      </w:r>
      <w:r>
        <w:rPr>
          <w:rFonts w:ascii="Times New Roman" w:hAnsi="Times New Roman" w:eastAsia="仿宋" w:cs="Times New Roman"/>
          <w:sz w:val="28"/>
          <w:szCs w:val="28"/>
        </w:rPr>
        <w:t>5548.4796</w:t>
      </w:r>
      <w:r>
        <w:rPr>
          <w:rFonts w:hint="eastAsia" w:ascii="Times New Roman" w:hAnsi="Times New Roman" w:eastAsia="仿宋" w:cs="Times New Roman"/>
          <w:sz w:val="28"/>
          <w:szCs w:val="28"/>
        </w:rPr>
        <w:t>公顷，生态环境安全控制区</w:t>
      </w:r>
      <w:r>
        <w:rPr>
          <w:rFonts w:ascii="Times New Roman" w:hAnsi="Times New Roman" w:eastAsia="仿宋" w:cs="Times New Roman"/>
          <w:sz w:val="28"/>
          <w:szCs w:val="28"/>
        </w:rPr>
        <w:t>57.2388</w:t>
      </w:r>
      <w:r>
        <w:rPr>
          <w:rFonts w:hint="eastAsia" w:ascii="Times New Roman" w:hAnsi="Times New Roman" w:eastAsia="仿宋" w:cs="Times New Roman"/>
          <w:sz w:val="28"/>
          <w:szCs w:val="28"/>
        </w:rPr>
        <w:t>公顷，林业用地区</w:t>
      </w:r>
      <w:r>
        <w:rPr>
          <w:rFonts w:ascii="Times New Roman" w:hAnsi="Times New Roman" w:eastAsia="仿宋" w:cs="Times New Roman"/>
          <w:sz w:val="28"/>
          <w:szCs w:val="28"/>
        </w:rPr>
        <w:t>193.0638</w:t>
      </w:r>
      <w:r>
        <w:rPr>
          <w:rFonts w:hint="eastAsia" w:ascii="Times New Roman" w:hAnsi="Times New Roman" w:eastAsia="仿宋" w:cs="Times New Roman"/>
          <w:sz w:val="28"/>
          <w:szCs w:val="28"/>
        </w:rPr>
        <w:t>公顷，其他用地区</w:t>
      </w:r>
      <w:r>
        <w:rPr>
          <w:rFonts w:ascii="Times New Roman" w:hAnsi="Times New Roman" w:eastAsia="仿宋" w:cs="Times New Roman"/>
          <w:sz w:val="28"/>
          <w:szCs w:val="28"/>
        </w:rPr>
        <w:t>2008.511</w:t>
      </w:r>
      <w:r>
        <w:rPr>
          <w:rFonts w:hint="eastAsia" w:ascii="Times New Roman" w:hAnsi="Times New Roman" w:eastAsia="仿宋" w:cs="Times New Roman"/>
          <w:sz w:val="28"/>
          <w:szCs w:val="28"/>
        </w:rPr>
        <w:t>1公顷。</w:t>
      </w:r>
    </w:p>
    <w:p>
      <w:pPr>
        <w:spacing w:line="360" w:lineRule="auto"/>
        <w:outlineLvl w:val="1"/>
        <w:rPr>
          <w:rFonts w:ascii="Times New Roman" w:hAnsi="Times New Roman" w:eastAsia="黑体" w:cs="Times New Roman"/>
          <w:b/>
          <w:bCs/>
          <w:sz w:val="30"/>
          <w:szCs w:val="30"/>
        </w:rPr>
      </w:pPr>
      <w:bookmarkStart w:id="22" w:name="_Toc68214205"/>
      <w:r>
        <w:rPr>
          <w:rFonts w:ascii="Times New Roman" w:hAnsi="Times New Roman" w:eastAsia="黑体" w:cs="Times New Roman"/>
          <w:b/>
          <w:bCs/>
          <w:sz w:val="30"/>
          <w:szCs w:val="30"/>
        </w:rPr>
        <w:t>2.</w:t>
      </w:r>
      <w:r>
        <w:rPr>
          <w:rFonts w:hint="eastAsia" w:ascii="Times New Roman" w:hAnsi="Times New Roman" w:eastAsia="黑体" w:cs="Times New Roman"/>
          <w:b/>
          <w:bCs/>
          <w:sz w:val="30"/>
          <w:szCs w:val="30"/>
        </w:rPr>
        <w:t>3</w:t>
      </w:r>
      <w:r>
        <w:rPr>
          <w:rFonts w:ascii="Times New Roman" w:hAnsi="Times New Roman" w:eastAsia="黑体" w:cs="Times New Roman"/>
          <w:b/>
          <w:bCs/>
          <w:sz w:val="30"/>
          <w:szCs w:val="30"/>
        </w:rPr>
        <w:t xml:space="preserve"> </w:t>
      </w:r>
      <w:r>
        <w:rPr>
          <w:rFonts w:hint="eastAsia" w:ascii="Times New Roman" w:hAnsi="Times New Roman" w:eastAsia="黑体" w:cs="Times New Roman"/>
          <w:b/>
          <w:bCs/>
          <w:sz w:val="30"/>
          <w:szCs w:val="30"/>
        </w:rPr>
        <w:t>重点建设项目</w:t>
      </w:r>
      <w:bookmarkEnd w:id="22"/>
    </w:p>
    <w:p>
      <w:pPr>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为保障“十三五”期间未实施完成、“十四五”期间位置暂未确定的基础设施项目落地需求，结合相关行业专项规划，将无法确定用地范围的基础设施项目列入重点项目清单。近期实施方案共安排重点建设项目1</w:t>
      </w:r>
      <w:r>
        <w:rPr>
          <w:rFonts w:ascii="Times New Roman" w:hAnsi="Times New Roman" w:eastAsia="仿宋" w:cs="Times New Roman"/>
          <w:sz w:val="28"/>
          <w:szCs w:val="28"/>
        </w:rPr>
        <w:t>1</w:t>
      </w:r>
      <w:r>
        <w:rPr>
          <w:rFonts w:hint="eastAsia" w:ascii="Times New Roman" w:hAnsi="Times New Roman" w:eastAsia="仿宋" w:cs="Times New Roman"/>
          <w:sz w:val="28"/>
          <w:szCs w:val="28"/>
        </w:rPr>
        <w:t>4</w:t>
      </w:r>
      <w:r>
        <w:rPr>
          <w:rFonts w:ascii="Times New Roman" w:hAnsi="Times New Roman" w:eastAsia="仿宋" w:cs="Times New Roman"/>
          <w:sz w:val="28"/>
          <w:szCs w:val="28"/>
        </w:rPr>
        <w:t>个</w:t>
      </w:r>
      <w:r>
        <w:rPr>
          <w:rFonts w:hint="eastAsia" w:ascii="Times New Roman" w:hAnsi="Times New Roman" w:eastAsia="仿宋" w:cs="Times New Roman"/>
          <w:sz w:val="28"/>
          <w:szCs w:val="28"/>
        </w:rPr>
        <w:t>，</w:t>
      </w:r>
      <w:r>
        <w:rPr>
          <w:rFonts w:ascii="Times New Roman" w:hAnsi="Times New Roman" w:eastAsia="仿宋" w:cs="Times New Roman"/>
          <w:sz w:val="28"/>
          <w:szCs w:val="28"/>
        </w:rPr>
        <w:t>其中</w:t>
      </w:r>
      <w:r>
        <w:rPr>
          <w:rFonts w:hint="eastAsia" w:ascii="Times New Roman" w:hAnsi="Times New Roman" w:eastAsia="仿宋" w:cs="Times New Roman"/>
          <w:sz w:val="28"/>
          <w:szCs w:val="28"/>
        </w:rPr>
        <w:t>交通类项目71个、</w:t>
      </w:r>
      <w:r>
        <w:rPr>
          <w:rFonts w:ascii="Times New Roman" w:hAnsi="Times New Roman" w:eastAsia="仿宋" w:cs="Times New Roman"/>
          <w:sz w:val="28"/>
          <w:szCs w:val="28"/>
        </w:rPr>
        <w:t>水利</w:t>
      </w:r>
      <w:r>
        <w:rPr>
          <w:rFonts w:hint="eastAsia" w:ascii="Times New Roman" w:hAnsi="Times New Roman" w:eastAsia="仿宋" w:cs="Times New Roman"/>
          <w:sz w:val="28"/>
          <w:szCs w:val="28"/>
        </w:rPr>
        <w:t>类</w:t>
      </w:r>
      <w:r>
        <w:rPr>
          <w:rFonts w:ascii="Times New Roman" w:hAnsi="Times New Roman" w:eastAsia="仿宋" w:cs="Times New Roman"/>
          <w:sz w:val="28"/>
          <w:szCs w:val="28"/>
        </w:rPr>
        <w:t>项目7个</w:t>
      </w:r>
      <w:r>
        <w:rPr>
          <w:rFonts w:hint="eastAsia" w:ascii="Times New Roman" w:hAnsi="Times New Roman" w:eastAsia="仿宋" w:cs="Times New Roman"/>
          <w:sz w:val="28"/>
          <w:szCs w:val="28"/>
        </w:rPr>
        <w:t>、电力类项目22个、环保类项目8</w:t>
      </w:r>
      <w:r>
        <w:rPr>
          <w:rFonts w:ascii="Times New Roman" w:hAnsi="Times New Roman" w:eastAsia="仿宋" w:cs="Times New Roman"/>
          <w:sz w:val="28"/>
          <w:szCs w:val="28"/>
        </w:rPr>
        <w:t>个</w:t>
      </w:r>
      <w:r>
        <w:rPr>
          <w:rFonts w:hint="eastAsia" w:ascii="Times New Roman" w:hAnsi="Times New Roman" w:eastAsia="仿宋" w:cs="Times New Roman"/>
          <w:sz w:val="28"/>
          <w:szCs w:val="28"/>
        </w:rPr>
        <w:t>、</w:t>
      </w:r>
      <w:r>
        <w:rPr>
          <w:rFonts w:ascii="Times New Roman" w:hAnsi="Times New Roman" w:eastAsia="仿宋" w:cs="Times New Roman"/>
          <w:sz w:val="28"/>
          <w:szCs w:val="28"/>
        </w:rPr>
        <w:t>其他</w:t>
      </w:r>
      <w:r>
        <w:rPr>
          <w:rFonts w:hint="eastAsia" w:ascii="Times New Roman" w:hAnsi="Times New Roman" w:eastAsia="仿宋" w:cs="Times New Roman"/>
          <w:sz w:val="28"/>
          <w:szCs w:val="28"/>
        </w:rPr>
        <w:t>类</w:t>
      </w:r>
      <w:r>
        <w:rPr>
          <w:rFonts w:ascii="Times New Roman" w:hAnsi="Times New Roman" w:eastAsia="仿宋" w:cs="Times New Roman"/>
          <w:sz w:val="28"/>
          <w:szCs w:val="28"/>
        </w:rPr>
        <w:t>项目</w:t>
      </w:r>
      <w:r>
        <w:rPr>
          <w:rFonts w:hint="eastAsia" w:ascii="Times New Roman" w:hAnsi="Times New Roman" w:eastAsia="仿宋" w:cs="Times New Roman"/>
          <w:sz w:val="28"/>
          <w:szCs w:val="28"/>
        </w:rPr>
        <w:t>6</w:t>
      </w:r>
      <w:r>
        <w:rPr>
          <w:rFonts w:ascii="Times New Roman" w:hAnsi="Times New Roman" w:eastAsia="仿宋" w:cs="Times New Roman"/>
          <w:sz w:val="28"/>
          <w:szCs w:val="28"/>
        </w:rPr>
        <w:t>个</w:t>
      </w:r>
      <w:r>
        <w:rPr>
          <w:rFonts w:hint="eastAsia" w:ascii="Times New Roman" w:hAnsi="Times New Roman" w:eastAsia="仿宋" w:cs="Times New Roman"/>
          <w:sz w:val="28"/>
          <w:szCs w:val="28"/>
        </w:rPr>
        <w:t>，重点保障了秦淮新河人行桥、省长江干堤防洪能力提升近期工程（南京段）、江心洲污水收集处理系统连通二期（凤台路泵站</w:t>
      </w:r>
      <w:r>
        <w:rPr>
          <w:rFonts w:ascii="Times New Roman" w:hAnsi="Times New Roman" w:eastAsia="仿宋" w:cs="Times New Roman"/>
          <w:sz w:val="28"/>
          <w:szCs w:val="28"/>
        </w:rPr>
        <w:t>-夹江段）</w:t>
      </w:r>
      <w:r>
        <w:rPr>
          <w:rFonts w:hint="eastAsia" w:ascii="Times New Roman" w:hAnsi="Times New Roman" w:eastAsia="仿宋" w:cs="Times New Roman"/>
          <w:sz w:val="28"/>
          <w:szCs w:val="28"/>
        </w:rPr>
        <w:t>、苍山路（应天大街</w:t>
      </w:r>
      <w:r>
        <w:rPr>
          <w:rFonts w:ascii="Times New Roman" w:hAnsi="Times New Roman" w:eastAsia="仿宋" w:cs="Times New Roman"/>
          <w:sz w:val="28"/>
          <w:szCs w:val="28"/>
        </w:rPr>
        <w:t>-集庆门大街）</w:t>
      </w:r>
      <w:r>
        <w:rPr>
          <w:rFonts w:hint="eastAsia" w:ascii="Times New Roman" w:hAnsi="Times New Roman" w:eastAsia="仿宋" w:cs="Times New Roman"/>
          <w:sz w:val="28"/>
          <w:szCs w:val="28"/>
        </w:rPr>
        <w:t>、富春江东街（西城路</w:t>
      </w:r>
      <w:r>
        <w:rPr>
          <w:rFonts w:ascii="Times New Roman" w:hAnsi="Times New Roman" w:eastAsia="仿宋" w:cs="Times New Roman"/>
          <w:sz w:val="28"/>
          <w:szCs w:val="28"/>
        </w:rPr>
        <w:t>-凤台南路）</w:t>
      </w:r>
      <w:r>
        <w:rPr>
          <w:rFonts w:hint="eastAsia" w:ascii="Times New Roman" w:hAnsi="Times New Roman" w:eastAsia="仿宋" w:cs="Times New Roman"/>
          <w:sz w:val="28"/>
          <w:szCs w:val="28"/>
        </w:rPr>
        <w:t>、新城快速通道等重大项目。详见附表3。</w:t>
      </w:r>
    </w:p>
    <w:p>
      <w:pPr>
        <w:spacing w:line="360" w:lineRule="auto"/>
        <w:outlineLvl w:val="1"/>
        <w:rPr>
          <w:rFonts w:ascii="Times New Roman" w:hAnsi="Times New Roman" w:eastAsia="黑体" w:cs="Times New Roman"/>
          <w:b/>
          <w:bCs/>
          <w:sz w:val="30"/>
          <w:szCs w:val="30"/>
        </w:rPr>
      </w:pPr>
      <w:bookmarkStart w:id="23" w:name="_Toc68214206"/>
      <w:r>
        <w:rPr>
          <w:rFonts w:ascii="Times New Roman" w:hAnsi="Times New Roman" w:eastAsia="黑体" w:cs="Times New Roman"/>
          <w:b/>
          <w:bCs/>
          <w:sz w:val="30"/>
          <w:szCs w:val="30"/>
        </w:rPr>
        <w:t>2.</w:t>
      </w:r>
      <w:r>
        <w:rPr>
          <w:rFonts w:hint="eastAsia" w:ascii="Times New Roman" w:hAnsi="Times New Roman" w:eastAsia="黑体" w:cs="Times New Roman"/>
          <w:b/>
          <w:bCs/>
          <w:sz w:val="30"/>
          <w:szCs w:val="30"/>
        </w:rPr>
        <w:t>4</w:t>
      </w:r>
      <w:r>
        <w:rPr>
          <w:rFonts w:ascii="Times New Roman" w:hAnsi="Times New Roman" w:eastAsia="黑体" w:cs="Times New Roman"/>
          <w:b/>
          <w:bCs/>
          <w:sz w:val="30"/>
          <w:szCs w:val="30"/>
        </w:rPr>
        <w:t xml:space="preserve"> </w:t>
      </w:r>
      <w:r>
        <w:rPr>
          <w:rFonts w:hint="eastAsia" w:ascii="Times New Roman" w:hAnsi="Times New Roman" w:eastAsia="黑体" w:cs="Times New Roman"/>
          <w:b/>
          <w:bCs/>
          <w:sz w:val="30"/>
          <w:szCs w:val="30"/>
        </w:rPr>
        <w:t>与相关规划成果的衔接</w:t>
      </w:r>
      <w:bookmarkEnd w:id="23"/>
    </w:p>
    <w:p>
      <w:pPr>
        <w:autoSpaceDE w:val="0"/>
        <w:autoSpaceDN w:val="0"/>
        <w:adjustRightInd w:val="0"/>
        <w:spacing w:line="360" w:lineRule="auto"/>
        <w:ind w:firstLine="562" w:firstLineChars="200"/>
        <w:outlineLvl w:val="2"/>
        <w:rPr>
          <w:rFonts w:ascii="Times New Roman" w:hAnsi="Times New Roman" w:eastAsia="黑体" w:cs="Times New Roman"/>
          <w:b/>
          <w:bCs/>
          <w:sz w:val="28"/>
        </w:rPr>
      </w:pPr>
      <w:bookmarkStart w:id="24" w:name="_Toc68214207"/>
      <w:r>
        <w:rPr>
          <w:rFonts w:ascii="Times New Roman" w:hAnsi="Times New Roman" w:eastAsia="黑体" w:cs="Times New Roman"/>
          <w:b/>
          <w:bCs/>
          <w:sz w:val="28"/>
        </w:rPr>
        <w:t>2.</w:t>
      </w:r>
      <w:r>
        <w:rPr>
          <w:rFonts w:hint="eastAsia" w:ascii="Times New Roman" w:hAnsi="Times New Roman" w:eastAsia="黑体" w:cs="Times New Roman"/>
          <w:b/>
          <w:bCs/>
          <w:sz w:val="28"/>
        </w:rPr>
        <w:t>4</w:t>
      </w:r>
      <w:r>
        <w:rPr>
          <w:rFonts w:ascii="Times New Roman" w:hAnsi="Times New Roman" w:eastAsia="黑体" w:cs="Times New Roman"/>
          <w:b/>
          <w:bCs/>
          <w:sz w:val="28"/>
        </w:rPr>
        <w:t>.</w:t>
      </w:r>
      <w:r>
        <w:rPr>
          <w:rFonts w:hint="eastAsia" w:ascii="Times New Roman" w:hAnsi="Times New Roman" w:eastAsia="黑体" w:cs="Times New Roman"/>
          <w:b/>
          <w:bCs/>
          <w:sz w:val="28"/>
        </w:rPr>
        <w:t>1与“三条控制线”划定成果的衔接</w:t>
      </w:r>
      <w:bookmarkEnd w:id="24"/>
    </w:p>
    <w:p>
      <w:pPr>
        <w:widowControl/>
        <w:shd w:val="clear" w:color="auto" w:fill="FFFFFF"/>
        <w:ind w:firstLine="562" w:firstLineChars="200"/>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（1）新增建设用地与生态保护红线衔接</w:t>
      </w:r>
    </w:p>
    <w:p>
      <w:pPr>
        <w:widowControl/>
        <w:shd w:val="clear" w:color="auto" w:fill="FFFFFF"/>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根据评估调整后的生态保护红线，</w:t>
      </w:r>
      <w:r>
        <w:rPr>
          <w:rFonts w:hint="eastAsia" w:ascii="Times New Roman" w:hAnsi="Times New Roman" w:eastAsia="仿宋" w:cs="Times New Roman"/>
          <w:sz w:val="28"/>
          <w:szCs w:val="28"/>
        </w:rPr>
        <w:t>建邺区行政辖区内生态保护红线共</w:t>
      </w:r>
      <w:r>
        <w:rPr>
          <w:rFonts w:ascii="Times New Roman" w:hAnsi="Times New Roman" w:eastAsia="仿宋" w:cs="Times New Roman"/>
          <w:sz w:val="28"/>
          <w:szCs w:val="28"/>
        </w:rPr>
        <w:t>3条，包括夹江饮用水水源保护区、江苏南京长江江豚省级自然保护区、长江大胜关长吻鮠铜鱼国家级水产种质资源保护区。本次实施方案编制与</w:t>
      </w:r>
      <w:r>
        <w:rPr>
          <w:rFonts w:hint="eastAsia" w:ascii="Times New Roman" w:hAnsi="Times New Roman" w:eastAsia="仿宋" w:cs="Times New Roman"/>
          <w:sz w:val="28"/>
          <w:szCs w:val="28"/>
        </w:rPr>
        <w:t>评估调整前后的</w:t>
      </w:r>
      <w:r>
        <w:rPr>
          <w:rFonts w:ascii="Times New Roman" w:hAnsi="Times New Roman" w:eastAsia="仿宋" w:cs="Times New Roman"/>
          <w:sz w:val="28"/>
          <w:szCs w:val="28"/>
        </w:rPr>
        <w:t>生态保护红线进行了充分衔接，确保新增建设范围位于</w:t>
      </w:r>
      <w:r>
        <w:rPr>
          <w:rFonts w:hint="eastAsia" w:ascii="Times New Roman" w:hAnsi="Times New Roman" w:eastAsia="仿宋" w:cs="Times New Roman"/>
          <w:sz w:val="28"/>
          <w:szCs w:val="28"/>
        </w:rPr>
        <w:t>评估调整后的</w:t>
      </w:r>
      <w:r>
        <w:rPr>
          <w:rFonts w:ascii="Times New Roman" w:hAnsi="Times New Roman" w:eastAsia="仿宋" w:cs="Times New Roman"/>
          <w:sz w:val="28"/>
          <w:szCs w:val="28"/>
        </w:rPr>
        <w:t>生态保护红线范围外，对生态</w:t>
      </w:r>
      <w:bookmarkStart w:id="25" w:name="_Hlk66026028"/>
      <w:r>
        <w:rPr>
          <w:rFonts w:hint="eastAsia" w:ascii="Times New Roman" w:hAnsi="Times New Roman" w:eastAsia="仿宋" w:cs="Times New Roman"/>
          <w:sz w:val="28"/>
          <w:szCs w:val="28"/>
        </w:rPr>
        <w:t>保护</w:t>
      </w:r>
      <w:bookmarkEnd w:id="25"/>
      <w:r>
        <w:rPr>
          <w:rFonts w:ascii="Times New Roman" w:hAnsi="Times New Roman" w:eastAsia="仿宋" w:cs="Times New Roman"/>
          <w:sz w:val="28"/>
          <w:szCs w:val="28"/>
        </w:rPr>
        <w:t>红线的主导功能不产生任何影响。</w:t>
      </w:r>
      <w:r>
        <w:rPr>
          <w:rFonts w:hint="eastAsia" w:ascii="Times New Roman" w:hAnsi="Times New Roman" w:eastAsia="仿宋" w:cs="Times New Roman"/>
          <w:sz w:val="28"/>
          <w:szCs w:val="28"/>
        </w:rPr>
        <w:t>近期实施方案有1</w:t>
      </w:r>
      <w:r>
        <w:rPr>
          <w:rFonts w:ascii="Times New Roman" w:hAnsi="Times New Roman" w:eastAsia="仿宋" w:cs="Times New Roman"/>
          <w:sz w:val="28"/>
          <w:szCs w:val="28"/>
        </w:rPr>
        <w:t>个新增</w:t>
      </w:r>
      <w:r>
        <w:rPr>
          <w:rFonts w:hint="eastAsia" w:ascii="Times New Roman" w:hAnsi="Times New Roman" w:eastAsia="仿宋" w:cs="Times New Roman"/>
          <w:sz w:val="28"/>
          <w:szCs w:val="28"/>
        </w:rPr>
        <w:t>建设用地</w:t>
      </w:r>
      <w:r>
        <w:rPr>
          <w:rFonts w:ascii="Times New Roman" w:hAnsi="Times New Roman" w:eastAsia="仿宋" w:cs="Times New Roman"/>
          <w:sz w:val="28"/>
          <w:szCs w:val="28"/>
        </w:rPr>
        <w:t>涉及生态保护红线评估调整的调出区域，为道路用地，待评估调整后的生态保护红线获国务院批准后再履行报批手续</w:t>
      </w:r>
      <w:r>
        <w:rPr>
          <w:rFonts w:hint="eastAsia" w:ascii="Times New Roman" w:hAnsi="Times New Roman" w:eastAsia="仿宋" w:cs="Times New Roman"/>
          <w:sz w:val="28"/>
          <w:szCs w:val="28"/>
        </w:rPr>
        <w:t>。</w:t>
      </w:r>
    </w:p>
    <w:p>
      <w:pPr>
        <w:spacing w:line="360" w:lineRule="auto"/>
        <w:jc w:val="center"/>
        <w:rPr>
          <w:rFonts w:ascii="Times New Roman" w:hAnsi="Times New Roman" w:eastAsia="仿宋_GB2312" w:cs="Times New Roman"/>
          <w:sz w:val="28"/>
          <w:szCs w:val="28"/>
        </w:rPr>
      </w:pPr>
      <w:r>
        <w:drawing>
          <wp:inline distT="0" distB="0" distL="0" distR="0">
            <wp:extent cx="3473450" cy="3963035"/>
            <wp:effectExtent l="19050" t="19050" r="12700" b="184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a:stretch>
                      <a:fillRect/>
                    </a:stretch>
                  </pic:blipFill>
                  <pic:spPr>
                    <a:xfrm>
                      <a:off x="0" y="0"/>
                      <a:ext cx="3474000" cy="3963600"/>
                    </a:xfrm>
                    <a:prstGeom prst="rect">
                      <a:avLst/>
                    </a:prstGeom>
                    <a:ln>
                      <a:solidFill>
                        <a:schemeClr val="bg1">
                          <a:lumMod val="50000"/>
                        </a:schemeClr>
                      </a:solidFill>
                    </a:ln>
                  </pic:spPr>
                </pic:pic>
              </a:graphicData>
            </a:graphic>
          </wp:inline>
        </w:drawing>
      </w:r>
    </w:p>
    <w:p>
      <w:pPr>
        <w:spacing w:before="156" w:beforeLines="50" w:after="156" w:afterLines="50"/>
        <w:jc w:val="center"/>
        <w:rPr>
          <w:rFonts w:ascii="Times New Roman" w:hAnsi="Times New Roman" w:eastAsia="仿宋" w:cs="Times New Roman"/>
          <w:b/>
          <w:sz w:val="24"/>
        </w:rPr>
      </w:pPr>
      <w:r>
        <w:rPr>
          <w:rFonts w:hint="eastAsia" w:ascii="Times New Roman" w:hAnsi="Times New Roman" w:eastAsia="仿宋" w:cs="Times New Roman"/>
          <w:b/>
          <w:sz w:val="24"/>
        </w:rPr>
        <w:t>图2</w:t>
      </w:r>
      <w:r>
        <w:rPr>
          <w:rFonts w:ascii="Times New Roman" w:hAnsi="Times New Roman" w:eastAsia="仿宋" w:cs="Times New Roman"/>
          <w:b/>
          <w:sz w:val="24"/>
        </w:rPr>
        <w:t>-</w:t>
      </w:r>
      <w:r>
        <w:rPr>
          <w:rFonts w:hint="eastAsia" w:ascii="Times New Roman" w:hAnsi="Times New Roman" w:eastAsia="仿宋" w:cs="Times New Roman"/>
          <w:b/>
          <w:sz w:val="24"/>
        </w:rPr>
        <w:t>2</w:t>
      </w:r>
      <w:r>
        <w:rPr>
          <w:rFonts w:ascii="Times New Roman" w:hAnsi="Times New Roman" w:eastAsia="仿宋" w:cs="Times New Roman"/>
          <w:b/>
          <w:sz w:val="24"/>
        </w:rPr>
        <w:t xml:space="preserve"> </w:t>
      </w:r>
      <w:r>
        <w:rPr>
          <w:rFonts w:hint="eastAsia" w:ascii="Times New Roman" w:hAnsi="Times New Roman" w:eastAsia="仿宋" w:cs="Times New Roman"/>
          <w:b/>
          <w:sz w:val="24"/>
        </w:rPr>
        <w:t>新增建设用地与评估调整前生态保护红线衔接图</w:t>
      </w:r>
    </w:p>
    <w:p>
      <w:pPr>
        <w:spacing w:before="156" w:beforeLines="50" w:after="156" w:afterLines="50"/>
        <w:jc w:val="center"/>
        <w:rPr>
          <w:rFonts w:ascii="Times New Roman" w:hAnsi="Times New Roman" w:eastAsia="仿宋" w:cs="Times New Roman"/>
          <w:b/>
          <w:sz w:val="24"/>
        </w:rPr>
      </w:pPr>
      <w:r>
        <w:drawing>
          <wp:inline distT="0" distB="0" distL="0" distR="0">
            <wp:extent cx="3473450" cy="3891280"/>
            <wp:effectExtent l="19050" t="19050" r="12700" b="139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a:stretch>
                      <a:fillRect/>
                    </a:stretch>
                  </pic:blipFill>
                  <pic:spPr>
                    <a:xfrm>
                      <a:off x="0" y="0"/>
                      <a:ext cx="3474000" cy="3891600"/>
                    </a:xfrm>
                    <a:prstGeom prst="rect">
                      <a:avLst/>
                    </a:prstGeom>
                    <a:ln>
                      <a:solidFill>
                        <a:schemeClr val="bg1">
                          <a:lumMod val="50000"/>
                        </a:schemeClr>
                      </a:solidFill>
                    </a:ln>
                  </pic:spPr>
                </pic:pic>
              </a:graphicData>
            </a:graphic>
          </wp:inline>
        </w:drawing>
      </w:r>
    </w:p>
    <w:p>
      <w:pPr>
        <w:spacing w:before="156" w:beforeLines="50" w:after="156" w:afterLines="50"/>
        <w:jc w:val="center"/>
        <w:rPr>
          <w:rFonts w:ascii="Times New Roman" w:hAnsi="Times New Roman" w:eastAsia="仿宋" w:cs="Times New Roman"/>
          <w:b/>
          <w:sz w:val="24"/>
        </w:rPr>
      </w:pPr>
      <w:r>
        <w:rPr>
          <w:rFonts w:hint="eastAsia" w:ascii="Times New Roman" w:hAnsi="Times New Roman" w:eastAsia="仿宋" w:cs="Times New Roman"/>
          <w:b/>
          <w:sz w:val="24"/>
        </w:rPr>
        <w:t>图2</w:t>
      </w:r>
      <w:r>
        <w:rPr>
          <w:rFonts w:ascii="Times New Roman" w:hAnsi="Times New Roman" w:eastAsia="仿宋" w:cs="Times New Roman"/>
          <w:b/>
          <w:sz w:val="24"/>
        </w:rPr>
        <w:t>-</w:t>
      </w:r>
      <w:r>
        <w:rPr>
          <w:rFonts w:hint="eastAsia" w:ascii="Times New Roman" w:hAnsi="Times New Roman" w:eastAsia="仿宋" w:cs="Times New Roman"/>
          <w:b/>
          <w:sz w:val="24"/>
        </w:rPr>
        <w:t>3</w:t>
      </w:r>
      <w:r>
        <w:rPr>
          <w:rFonts w:ascii="Times New Roman" w:hAnsi="Times New Roman" w:eastAsia="仿宋" w:cs="Times New Roman"/>
          <w:b/>
          <w:sz w:val="24"/>
        </w:rPr>
        <w:t xml:space="preserve"> </w:t>
      </w:r>
      <w:r>
        <w:rPr>
          <w:rFonts w:hint="eastAsia" w:ascii="Times New Roman" w:hAnsi="Times New Roman" w:eastAsia="仿宋" w:cs="Times New Roman"/>
          <w:b/>
          <w:sz w:val="24"/>
        </w:rPr>
        <w:t>新增建设用地与评估调整后生态保护红线衔接图</w:t>
      </w:r>
    </w:p>
    <w:p>
      <w:pPr>
        <w:widowControl/>
        <w:shd w:val="clear" w:color="auto" w:fill="FFFFFF"/>
        <w:ind w:firstLine="562" w:firstLineChars="200"/>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（2）新增建设用地与永久基本农田衔接</w:t>
      </w:r>
    </w:p>
    <w:p>
      <w:pPr>
        <w:shd w:val="clear" w:color="auto" w:fill="FFFFFF"/>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近期实施方案编制过程中，强化与永久基本农田的衔接与协调，</w:t>
      </w:r>
      <w:r>
        <w:rPr>
          <w:rFonts w:hint="eastAsia" w:ascii="Times New Roman" w:hAnsi="Times New Roman" w:eastAsia="仿宋" w:cs="Times New Roman"/>
          <w:sz w:val="28"/>
          <w:szCs w:val="28"/>
        </w:rPr>
        <w:t>建邺</w:t>
      </w:r>
      <w:r>
        <w:rPr>
          <w:rFonts w:ascii="Times New Roman" w:hAnsi="Times New Roman" w:eastAsia="仿宋" w:cs="Times New Roman"/>
          <w:sz w:val="28"/>
          <w:szCs w:val="28"/>
        </w:rPr>
        <w:t>区行政区范围内未划定永久基本农田，因此各类新增建设用地均不在永久基本农田范围内。</w:t>
      </w:r>
    </w:p>
    <w:p>
      <w:pPr>
        <w:widowControl/>
        <w:shd w:val="clear" w:color="auto" w:fill="FFFFFF"/>
        <w:ind w:firstLine="562" w:firstLineChars="200"/>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（3）新增建设用地与城镇开发边界衔接</w:t>
      </w:r>
    </w:p>
    <w:p>
      <w:pPr>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城镇开发边界是在国土空间规划中划定的，一定时期内因城镇发展需要，可以集中进行城镇开发建设，完善城镇功能、提升空间品质的区域边界，</w:t>
      </w:r>
      <w:r>
        <w:rPr>
          <w:rFonts w:ascii="Times New Roman" w:hAnsi="Times New Roman" w:eastAsia="仿宋" w:cs="Times New Roman"/>
          <w:sz w:val="28"/>
          <w:szCs w:val="28"/>
        </w:rPr>
        <w:t>遵循</w:t>
      </w:r>
      <w:r>
        <w:rPr>
          <w:rFonts w:hint="eastAsia" w:ascii="Times New Roman" w:hAnsi="Times New Roman" w:eastAsia="仿宋" w:cs="Times New Roman"/>
          <w:sz w:val="28"/>
          <w:szCs w:val="28"/>
        </w:rPr>
        <w:t>“</w:t>
      </w:r>
      <w:r>
        <w:rPr>
          <w:rFonts w:ascii="Times New Roman" w:hAnsi="Times New Roman" w:eastAsia="仿宋" w:cs="Times New Roman"/>
          <w:sz w:val="28"/>
          <w:szCs w:val="28"/>
        </w:rPr>
        <w:t>保护优先、形态完整、留有空间、因地制宜</w:t>
      </w:r>
      <w:r>
        <w:rPr>
          <w:rFonts w:hint="eastAsia" w:ascii="Times New Roman" w:hAnsi="Times New Roman" w:eastAsia="仿宋" w:cs="Times New Roman"/>
          <w:sz w:val="28"/>
          <w:szCs w:val="28"/>
        </w:rPr>
        <w:t>”</w:t>
      </w:r>
      <w:r>
        <w:rPr>
          <w:rFonts w:ascii="Times New Roman" w:hAnsi="Times New Roman" w:eastAsia="仿宋" w:cs="Times New Roman"/>
          <w:sz w:val="28"/>
          <w:szCs w:val="28"/>
        </w:rPr>
        <w:t>的原则对城镇开发边界进行优化调整。近期实施方案编制过程中，新增城镇建设用地</w:t>
      </w:r>
      <w:r>
        <w:rPr>
          <w:rFonts w:hint="eastAsia" w:ascii="Times New Roman" w:hAnsi="Times New Roman" w:eastAsia="仿宋" w:cs="Times New Roman"/>
          <w:sz w:val="28"/>
          <w:szCs w:val="28"/>
        </w:rPr>
        <w:t>位于城镇开发边界内</w:t>
      </w:r>
      <w:bookmarkStart w:id="26" w:name="_Hlk68609793"/>
      <w:r>
        <w:rPr>
          <w:rFonts w:ascii="Times New Roman" w:hAnsi="Times New Roman" w:eastAsia="仿宋" w:cs="Times New Roman"/>
          <w:sz w:val="28"/>
          <w:szCs w:val="28"/>
        </w:rPr>
        <w:t>0.60</w:t>
      </w:r>
      <w:r>
        <w:rPr>
          <w:rFonts w:hint="eastAsia" w:ascii="Times New Roman" w:hAnsi="Times New Roman" w:eastAsia="仿宋" w:cs="Times New Roman"/>
          <w:sz w:val="28"/>
          <w:szCs w:val="28"/>
        </w:rPr>
        <w:t>76公顷</w:t>
      </w:r>
      <w:bookmarkEnd w:id="26"/>
      <w:r>
        <w:rPr>
          <w:rFonts w:hint="eastAsia" w:ascii="Times New Roman" w:hAnsi="Times New Roman" w:eastAsia="仿宋" w:cs="Times New Roman"/>
          <w:sz w:val="28"/>
          <w:szCs w:val="28"/>
        </w:rPr>
        <w:t>，</w:t>
      </w:r>
      <w:bookmarkStart w:id="27" w:name="_Hlk68612078"/>
      <w:r>
        <w:rPr>
          <w:rFonts w:hint="eastAsia" w:ascii="Times New Roman" w:hAnsi="Times New Roman" w:eastAsia="仿宋" w:cs="Times New Roman"/>
          <w:sz w:val="28"/>
          <w:szCs w:val="28"/>
        </w:rPr>
        <w:t>涉及</w:t>
      </w:r>
      <w:r>
        <w:rPr>
          <w:rFonts w:ascii="Times New Roman" w:hAnsi="Times New Roman" w:eastAsia="仿宋" w:cs="Times New Roman"/>
          <w:sz w:val="28"/>
          <w:szCs w:val="28"/>
        </w:rPr>
        <w:t>1</w:t>
      </w:r>
      <w:r>
        <w:rPr>
          <w:rFonts w:hint="eastAsia" w:ascii="Times New Roman" w:hAnsi="Times New Roman" w:eastAsia="仿宋" w:cs="Times New Roman"/>
          <w:sz w:val="28"/>
          <w:szCs w:val="28"/>
        </w:rPr>
        <w:t>7个地块</w:t>
      </w:r>
      <w:bookmarkEnd w:id="27"/>
      <w:r>
        <w:rPr>
          <w:rFonts w:hint="eastAsia" w:ascii="Times New Roman" w:hAnsi="Times New Roman" w:eastAsia="仿宋" w:cs="Times New Roman"/>
          <w:sz w:val="28"/>
          <w:szCs w:val="28"/>
        </w:rPr>
        <w:t>；位于开发边界外</w:t>
      </w:r>
      <w:r>
        <w:rPr>
          <w:rFonts w:ascii="Times New Roman" w:hAnsi="Times New Roman" w:eastAsia="仿宋" w:cs="Times New Roman"/>
          <w:sz w:val="28"/>
          <w:szCs w:val="28"/>
        </w:rPr>
        <w:t>2.0</w:t>
      </w:r>
      <w:r>
        <w:rPr>
          <w:rFonts w:hint="eastAsia" w:ascii="Times New Roman" w:hAnsi="Times New Roman" w:eastAsia="仿宋" w:cs="Times New Roman"/>
          <w:sz w:val="28"/>
          <w:szCs w:val="28"/>
        </w:rPr>
        <w:t>23</w:t>
      </w:r>
      <w:r>
        <w:rPr>
          <w:rFonts w:ascii="Times New Roman" w:hAnsi="Times New Roman" w:eastAsia="仿宋" w:cs="Times New Roman"/>
          <w:sz w:val="28"/>
          <w:szCs w:val="28"/>
        </w:rPr>
        <w:t>4</w:t>
      </w:r>
      <w:r>
        <w:rPr>
          <w:rFonts w:hint="eastAsia" w:ascii="Times New Roman" w:hAnsi="Times New Roman" w:eastAsia="仿宋" w:cs="Times New Roman"/>
          <w:sz w:val="28"/>
          <w:szCs w:val="28"/>
        </w:rPr>
        <w:t>公顷，涉及</w:t>
      </w:r>
      <w:r>
        <w:rPr>
          <w:rFonts w:ascii="Times New Roman" w:hAnsi="Times New Roman" w:eastAsia="仿宋" w:cs="Times New Roman"/>
          <w:sz w:val="28"/>
          <w:szCs w:val="28"/>
        </w:rPr>
        <w:t>3</w:t>
      </w:r>
      <w:r>
        <w:rPr>
          <w:rFonts w:hint="eastAsia" w:ascii="Times New Roman" w:hAnsi="Times New Roman" w:eastAsia="仿宋" w:cs="Times New Roman"/>
          <w:sz w:val="28"/>
          <w:szCs w:val="28"/>
        </w:rPr>
        <w:t>3</w:t>
      </w:r>
      <w:r>
        <w:rPr>
          <w:rFonts w:ascii="Times New Roman" w:hAnsi="Times New Roman" w:eastAsia="仿宋" w:cs="Times New Roman"/>
          <w:sz w:val="28"/>
          <w:szCs w:val="28"/>
        </w:rPr>
        <w:t>个地块</w:t>
      </w:r>
      <w:r>
        <w:rPr>
          <w:rFonts w:hint="eastAsia" w:ascii="Times New Roman" w:hAnsi="Times New Roman" w:eastAsia="仿宋" w:cs="Times New Roman"/>
          <w:sz w:val="28"/>
          <w:szCs w:val="28"/>
        </w:rPr>
        <w:t>，开发边界外新增建设用地主要用于保障道路等基础设施项目。</w:t>
      </w:r>
    </w:p>
    <w:p>
      <w:pPr>
        <w:spacing w:line="360" w:lineRule="auto"/>
        <w:jc w:val="center"/>
        <w:rPr>
          <w:rFonts w:ascii="Times New Roman" w:hAnsi="Times New Roman" w:eastAsia="仿宋_GB2312" w:cs="Times New Roman"/>
          <w:sz w:val="28"/>
          <w:szCs w:val="28"/>
        </w:rPr>
      </w:pPr>
      <w:r>
        <w:drawing>
          <wp:inline distT="0" distB="0" distL="0" distR="0">
            <wp:extent cx="3333750" cy="3705225"/>
            <wp:effectExtent l="19050" t="19050" r="19050" b="285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6"/>
                    <a:srcRect t="3613" b="1549"/>
                    <a:stretch>
                      <a:fillRect/>
                    </a:stretch>
                  </pic:blipFill>
                  <pic:spPr>
                    <a:xfrm>
                      <a:off x="0" y="0"/>
                      <a:ext cx="3342529" cy="3715232"/>
                    </a:xfrm>
                    <a:prstGeom prst="rect">
                      <a:avLst/>
                    </a:prstGeom>
                    <a:ln w="9525" cap="flat" cmpd="sng" algn="ctr">
                      <a:solidFill>
                        <a:sysClr val="window" lastClr="FFFFFF">
                          <a:lumMod val="50000"/>
                        </a:sysClr>
                      </a:solidFill>
                      <a:prstDash val="solid"/>
                      <a:round/>
                      <a:headEnd type="none" w="med" len="med"/>
                      <a:tailEnd type="none" w="med" len="med"/>
                    </a:ln>
                  </pic:spPr>
                </pic:pic>
              </a:graphicData>
            </a:graphic>
          </wp:inline>
        </w:drawing>
      </w:r>
    </w:p>
    <w:p>
      <w:pPr>
        <w:spacing w:before="156" w:beforeLines="50" w:after="156" w:afterLines="50"/>
        <w:jc w:val="center"/>
        <w:rPr>
          <w:rFonts w:ascii="Times New Roman" w:hAnsi="Times New Roman" w:eastAsia="仿宋" w:cs="Times New Roman"/>
          <w:b/>
          <w:sz w:val="24"/>
        </w:rPr>
      </w:pPr>
      <w:r>
        <w:rPr>
          <w:rFonts w:hint="eastAsia" w:ascii="Times New Roman" w:hAnsi="Times New Roman" w:eastAsia="仿宋" w:cs="Times New Roman"/>
          <w:b/>
          <w:sz w:val="24"/>
        </w:rPr>
        <w:t>图</w:t>
      </w:r>
      <w:r>
        <w:rPr>
          <w:rFonts w:ascii="Times New Roman" w:hAnsi="Times New Roman" w:eastAsia="仿宋" w:cs="Times New Roman"/>
          <w:b/>
          <w:sz w:val="24"/>
        </w:rPr>
        <w:t>2</w:t>
      </w:r>
      <w:r>
        <w:rPr>
          <w:rFonts w:hint="eastAsia" w:ascii="Times New Roman" w:hAnsi="Times New Roman" w:eastAsia="仿宋" w:cs="Times New Roman"/>
          <w:b/>
          <w:sz w:val="24"/>
        </w:rPr>
        <w:t>-4</w:t>
      </w:r>
      <w:r>
        <w:rPr>
          <w:rFonts w:ascii="Times New Roman" w:hAnsi="Times New Roman" w:eastAsia="仿宋" w:cs="Times New Roman"/>
          <w:b/>
          <w:sz w:val="24"/>
        </w:rPr>
        <w:t xml:space="preserve"> </w:t>
      </w:r>
      <w:r>
        <w:rPr>
          <w:rFonts w:hint="eastAsia" w:ascii="Times New Roman" w:hAnsi="Times New Roman" w:eastAsia="仿宋" w:cs="Times New Roman"/>
          <w:b/>
          <w:sz w:val="24"/>
        </w:rPr>
        <w:t>新增建设用地地块与试划城镇开发边界衔接图</w:t>
      </w:r>
    </w:p>
    <w:p>
      <w:pPr>
        <w:autoSpaceDE w:val="0"/>
        <w:autoSpaceDN w:val="0"/>
        <w:adjustRightInd w:val="0"/>
        <w:spacing w:line="360" w:lineRule="auto"/>
        <w:ind w:firstLine="562" w:firstLineChars="200"/>
        <w:outlineLvl w:val="2"/>
        <w:rPr>
          <w:rFonts w:ascii="Times New Roman" w:hAnsi="Times New Roman" w:eastAsia="黑体" w:cs="Times New Roman"/>
          <w:b/>
          <w:bCs/>
          <w:sz w:val="28"/>
        </w:rPr>
      </w:pPr>
      <w:bookmarkStart w:id="28" w:name="_Toc68214208"/>
      <w:bookmarkStart w:id="29" w:name="_Hlk65830400"/>
      <w:r>
        <w:rPr>
          <w:rFonts w:ascii="Times New Roman" w:hAnsi="Times New Roman" w:eastAsia="黑体" w:cs="Times New Roman"/>
          <w:b/>
          <w:bCs/>
          <w:sz w:val="28"/>
        </w:rPr>
        <w:t>2.</w:t>
      </w:r>
      <w:r>
        <w:rPr>
          <w:rFonts w:hint="eastAsia" w:ascii="Times New Roman" w:hAnsi="Times New Roman" w:eastAsia="黑体" w:cs="Times New Roman"/>
          <w:b/>
          <w:bCs/>
          <w:sz w:val="28"/>
        </w:rPr>
        <w:t>4</w:t>
      </w:r>
      <w:r>
        <w:rPr>
          <w:rFonts w:ascii="Times New Roman" w:hAnsi="Times New Roman" w:eastAsia="黑体" w:cs="Times New Roman"/>
          <w:b/>
          <w:bCs/>
          <w:sz w:val="28"/>
        </w:rPr>
        <w:t>.</w:t>
      </w:r>
      <w:r>
        <w:rPr>
          <w:rFonts w:hint="eastAsia" w:ascii="Times New Roman" w:hAnsi="Times New Roman" w:eastAsia="黑体" w:cs="Times New Roman"/>
          <w:b/>
          <w:bCs/>
          <w:sz w:val="28"/>
        </w:rPr>
        <w:t>2</w:t>
      </w:r>
      <w:r>
        <w:rPr>
          <w:rFonts w:ascii="Times New Roman" w:hAnsi="Times New Roman" w:eastAsia="黑体" w:cs="Times New Roman"/>
          <w:b/>
          <w:bCs/>
          <w:sz w:val="28"/>
        </w:rPr>
        <w:t xml:space="preserve"> </w:t>
      </w:r>
      <w:r>
        <w:rPr>
          <w:rFonts w:hint="eastAsia" w:ascii="Times New Roman" w:hAnsi="Times New Roman" w:eastAsia="黑体" w:cs="Times New Roman"/>
          <w:b/>
          <w:bCs/>
          <w:sz w:val="28"/>
        </w:rPr>
        <w:t>与现行有效国土空间规划的衔接</w:t>
      </w:r>
      <w:bookmarkEnd w:id="28"/>
    </w:p>
    <w:bookmarkEnd w:id="29"/>
    <w:p>
      <w:pPr>
        <w:widowControl/>
        <w:shd w:val="clear" w:color="auto" w:fill="FFFFFF"/>
        <w:ind w:firstLine="562" w:firstLineChars="200"/>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（1）城镇开发边界试划方案与现行城市（镇）总体规划衔接</w:t>
      </w:r>
    </w:p>
    <w:p>
      <w:pPr>
        <w:widowControl/>
        <w:shd w:val="clear" w:color="auto" w:fill="FFFFFF"/>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w:t>
      </w:r>
      <w:r>
        <w:rPr>
          <w:rFonts w:hint="eastAsia" w:ascii="Times New Roman" w:hAnsi="Times New Roman" w:eastAsia="仿宋" w:cs="Times New Roman"/>
          <w:sz w:val="28"/>
          <w:szCs w:val="28"/>
        </w:rPr>
        <w:t>南京市建邺区</w:t>
      </w:r>
      <w:r>
        <w:rPr>
          <w:rFonts w:ascii="Times New Roman" w:hAnsi="Times New Roman" w:eastAsia="仿宋" w:cs="Times New Roman"/>
          <w:sz w:val="28"/>
          <w:szCs w:val="28"/>
        </w:rPr>
        <w:t>总体规划（201</w:t>
      </w:r>
      <w:r>
        <w:rPr>
          <w:rFonts w:hint="eastAsia" w:ascii="Times New Roman" w:hAnsi="Times New Roman" w:eastAsia="仿宋" w:cs="Times New Roman"/>
          <w:sz w:val="28"/>
          <w:szCs w:val="28"/>
        </w:rPr>
        <w:t>0</w:t>
      </w:r>
      <w:r>
        <w:rPr>
          <w:rFonts w:ascii="Times New Roman" w:hAnsi="Times New Roman" w:eastAsia="仿宋" w:cs="Times New Roman"/>
          <w:sz w:val="28"/>
          <w:szCs w:val="28"/>
        </w:rPr>
        <w:t>-2030）》于201</w:t>
      </w:r>
      <w:r>
        <w:rPr>
          <w:rFonts w:hint="eastAsia" w:ascii="Times New Roman" w:hAnsi="Times New Roman" w:eastAsia="仿宋" w:cs="Times New Roman"/>
          <w:sz w:val="28"/>
          <w:szCs w:val="28"/>
        </w:rPr>
        <w:t>2</w:t>
      </w:r>
      <w:r>
        <w:rPr>
          <w:rFonts w:ascii="Times New Roman" w:hAnsi="Times New Roman" w:eastAsia="仿宋" w:cs="Times New Roman"/>
          <w:sz w:val="28"/>
          <w:szCs w:val="28"/>
        </w:rPr>
        <w:t>年经</w:t>
      </w:r>
      <w:r>
        <w:rPr>
          <w:rFonts w:hint="eastAsia" w:ascii="Times New Roman" w:hAnsi="Times New Roman" w:eastAsia="仿宋" w:cs="Times New Roman"/>
          <w:sz w:val="28"/>
          <w:szCs w:val="28"/>
        </w:rPr>
        <w:t>南京市</w:t>
      </w:r>
      <w:r>
        <w:rPr>
          <w:rFonts w:ascii="Times New Roman" w:hAnsi="Times New Roman" w:eastAsia="仿宋" w:cs="Times New Roman"/>
          <w:sz w:val="28"/>
          <w:szCs w:val="28"/>
        </w:rPr>
        <w:t>人民政府批复</w:t>
      </w:r>
      <w:r>
        <w:rPr>
          <w:rFonts w:hint="eastAsia" w:ascii="Times New Roman" w:hAnsi="Times New Roman" w:eastAsia="仿宋" w:cs="Times New Roman"/>
          <w:sz w:val="28"/>
          <w:szCs w:val="28"/>
        </w:rPr>
        <w:t>，规划形成“一心、两带、六轴、七点、十一片”的空间结构，进一步优化空间组织，强化分区引导，形成“一核、两翼、两区”的产业发展空间格局，促进产业空间的集聚和集约发展。</w:t>
      </w:r>
    </w:p>
    <w:p>
      <w:pPr>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城镇开发边界试划过程中，以保证规划延续性为原则，在市域国土空间格局以及区域发展战略调整指引下，优化城镇开发边界布局，引导城镇用地集中集聚布局。依据国土空间规划城镇开发边界试划方案上报版，结合近期实施方案需求，试划了近期城镇开发边界，以约束近两年城镇建设用地发展方向。</w:t>
      </w:r>
    </w:p>
    <w:p>
      <w:pPr>
        <w:spacing w:line="360" w:lineRule="auto"/>
        <w:jc w:val="center"/>
        <w:rPr>
          <w:rFonts w:ascii="Times New Roman" w:hAnsi="Times New Roman" w:eastAsia="仿宋_GB2312" w:cs="Times New Roman"/>
          <w:sz w:val="28"/>
          <w:szCs w:val="28"/>
        </w:rPr>
      </w:pPr>
      <w:r>
        <w:drawing>
          <wp:inline distT="0" distB="0" distL="0" distR="0">
            <wp:extent cx="3520440" cy="3949065"/>
            <wp:effectExtent l="19050" t="19050" r="22860" b="133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7"/>
                    <a:stretch>
                      <a:fillRect/>
                    </a:stretch>
                  </pic:blipFill>
                  <pic:spPr>
                    <a:xfrm>
                      <a:off x="0" y="0"/>
                      <a:ext cx="3520800" cy="3949200"/>
                    </a:xfrm>
                    <a:prstGeom prst="rect">
                      <a:avLst/>
                    </a:prstGeom>
                    <a:ln>
                      <a:solidFill>
                        <a:schemeClr val="bg1">
                          <a:lumMod val="50000"/>
                        </a:schemeClr>
                      </a:solidFill>
                    </a:ln>
                  </pic:spPr>
                </pic:pic>
              </a:graphicData>
            </a:graphic>
          </wp:inline>
        </w:drawing>
      </w:r>
    </w:p>
    <w:p>
      <w:pPr>
        <w:jc w:val="center"/>
        <w:rPr>
          <w:rFonts w:ascii="Times New Roman" w:hAnsi="Times New Roman" w:eastAsia="仿宋" w:cs="Times New Roman"/>
          <w:b/>
          <w:sz w:val="24"/>
        </w:rPr>
      </w:pPr>
      <w:r>
        <w:rPr>
          <w:rFonts w:ascii="Times New Roman" w:hAnsi="Times New Roman" w:eastAsia="仿宋" w:cs="Times New Roman"/>
          <w:b/>
          <w:sz w:val="24"/>
        </w:rPr>
        <w:t>图2-</w:t>
      </w:r>
      <w:r>
        <w:rPr>
          <w:rFonts w:hint="eastAsia" w:ascii="Times New Roman" w:hAnsi="Times New Roman" w:eastAsia="仿宋" w:cs="Times New Roman"/>
          <w:b/>
          <w:sz w:val="24"/>
        </w:rPr>
        <w:t>5</w:t>
      </w:r>
      <w:r>
        <w:rPr>
          <w:rFonts w:ascii="Times New Roman" w:hAnsi="Times New Roman" w:eastAsia="仿宋" w:cs="Times New Roman"/>
          <w:b/>
          <w:sz w:val="24"/>
        </w:rPr>
        <w:t xml:space="preserve"> </w:t>
      </w:r>
      <w:r>
        <w:rPr>
          <w:rFonts w:hint="eastAsia" w:ascii="Times New Roman" w:hAnsi="Times New Roman" w:eastAsia="仿宋" w:cs="Times New Roman"/>
          <w:b/>
          <w:sz w:val="24"/>
        </w:rPr>
        <w:t>建邺区</w:t>
      </w:r>
      <w:r>
        <w:rPr>
          <w:rFonts w:ascii="Times New Roman" w:hAnsi="Times New Roman" w:eastAsia="仿宋" w:cs="Times New Roman"/>
          <w:b/>
          <w:sz w:val="24"/>
        </w:rPr>
        <w:t>现行与试划城镇开发边界对比示意图</w:t>
      </w:r>
    </w:p>
    <w:p>
      <w:pPr>
        <w:widowControl/>
        <w:shd w:val="clear" w:color="auto" w:fill="FFFFFF"/>
        <w:ind w:firstLine="562" w:firstLineChars="200"/>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（2）新增城镇建设用地与城市控制性详细规划衔接</w:t>
      </w:r>
    </w:p>
    <w:p>
      <w:pPr>
        <w:widowControl/>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近期实施方案编制过程中，优先衔接现行国土空间规划，近期实施方案共安排城镇开发边界内新增城镇建设用地</w:t>
      </w:r>
      <w:r>
        <w:rPr>
          <w:rFonts w:ascii="Times New Roman" w:hAnsi="Times New Roman" w:eastAsia="仿宋" w:cs="Times New Roman"/>
          <w:sz w:val="28"/>
          <w:szCs w:val="28"/>
        </w:rPr>
        <w:t>0.6045公顷</w:t>
      </w:r>
      <w:r>
        <w:rPr>
          <w:rFonts w:hint="eastAsia" w:ascii="Times New Roman" w:hAnsi="Times New Roman" w:eastAsia="仿宋" w:cs="Times New Roman"/>
          <w:sz w:val="28"/>
          <w:szCs w:val="28"/>
        </w:rPr>
        <w:t>，其中</w:t>
      </w:r>
      <w:r>
        <w:rPr>
          <w:rFonts w:ascii="Times New Roman" w:hAnsi="Times New Roman" w:eastAsia="仿宋" w:cs="Times New Roman"/>
          <w:sz w:val="28"/>
          <w:szCs w:val="28"/>
        </w:rPr>
        <w:t>0.0219公顷位于《新加坡</w:t>
      </w:r>
      <w:r>
        <w:rPr>
          <w:rFonts w:ascii="Times New Roman" w:hAnsi="Times New Roman" w:eastAsia="仿宋" w:cs="Times New Roman"/>
          <w:b/>
          <w:bCs/>
          <w:sz w:val="36"/>
          <w:szCs w:val="36"/>
        </w:rPr>
        <w:t>·</w:t>
      </w:r>
      <w:r>
        <w:rPr>
          <w:rFonts w:ascii="Times New Roman" w:hAnsi="Times New Roman" w:eastAsia="仿宋" w:cs="Times New Roman"/>
          <w:sz w:val="28"/>
          <w:szCs w:val="28"/>
        </w:rPr>
        <w:t>南京生态科技岛（MCe</w:t>
      </w:r>
      <w:r>
        <w:rPr>
          <w:rFonts w:hint="eastAsia" w:ascii="Times New Roman" w:hAnsi="Times New Roman" w:eastAsia="仿宋" w:cs="Times New Roman"/>
          <w:sz w:val="28"/>
          <w:szCs w:val="28"/>
        </w:rPr>
        <w:t>0</w:t>
      </w:r>
      <w:r>
        <w:rPr>
          <w:rFonts w:ascii="Times New Roman" w:hAnsi="Times New Roman" w:eastAsia="仿宋" w:cs="Times New Roman"/>
          <w:sz w:val="28"/>
          <w:szCs w:val="28"/>
        </w:rPr>
        <w:t>10）控制性详细规划（修编）》确定的城镇建设用地范围内，另有0.5826公顷位于规划确定的城镇建设用地范围外，</w:t>
      </w:r>
      <w:r>
        <w:rPr>
          <w:rFonts w:hint="eastAsia" w:ascii="Times New Roman" w:hAnsi="Times New Roman" w:eastAsia="仿宋" w:cs="Times New Roman"/>
          <w:sz w:val="28"/>
          <w:szCs w:val="28"/>
        </w:rPr>
        <w:t>为基础设施保障项目。</w:t>
      </w:r>
    </w:p>
    <w:p>
      <w:pPr>
        <w:widowControl/>
        <w:shd w:val="clear" w:color="auto" w:fill="FFFFFF"/>
        <w:ind w:firstLine="560" w:firstLineChars="200"/>
        <w:rPr>
          <w:rFonts w:ascii="Times New Roman" w:hAnsi="Times New Roman" w:eastAsia="仿宋" w:cs="Times New Roman"/>
          <w:sz w:val="28"/>
          <w:szCs w:val="28"/>
        </w:rPr>
      </w:pPr>
    </w:p>
    <w:p>
      <w:pPr>
        <w:spacing w:line="360" w:lineRule="auto"/>
        <w:jc w:val="center"/>
        <w:rPr>
          <w:rFonts w:ascii="Times New Roman" w:hAnsi="Times New Roman" w:eastAsia="仿宋_GB2312" w:cs="Times New Roman"/>
          <w:sz w:val="28"/>
          <w:szCs w:val="28"/>
        </w:rPr>
      </w:pPr>
      <w:r>
        <w:drawing>
          <wp:inline distT="0" distB="0" distL="0" distR="0">
            <wp:extent cx="4319905" cy="2332355"/>
            <wp:effectExtent l="19050" t="19050" r="23495" b="1079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8"/>
                    <a:stretch>
                      <a:fillRect/>
                    </a:stretch>
                  </pic:blipFill>
                  <pic:spPr>
                    <a:xfrm>
                      <a:off x="0" y="0"/>
                      <a:ext cx="4320000" cy="2332800"/>
                    </a:xfrm>
                    <a:prstGeom prst="rect">
                      <a:avLst/>
                    </a:prstGeom>
                    <a:ln>
                      <a:solidFill>
                        <a:schemeClr val="bg1">
                          <a:lumMod val="50000"/>
                        </a:schemeClr>
                      </a:solidFill>
                    </a:ln>
                  </pic:spPr>
                </pic:pic>
              </a:graphicData>
            </a:graphic>
          </wp:inline>
        </w:drawing>
      </w:r>
    </w:p>
    <w:p>
      <w:pPr>
        <w:spacing w:before="156" w:beforeLines="50" w:after="156" w:afterLines="50"/>
        <w:jc w:val="center"/>
        <w:rPr>
          <w:rFonts w:ascii="Times New Roman" w:hAnsi="Times New Roman" w:eastAsia="仿宋" w:cs="Times New Roman"/>
          <w:b/>
          <w:sz w:val="24"/>
        </w:rPr>
      </w:pPr>
      <w:r>
        <w:rPr>
          <w:rFonts w:hint="eastAsia" w:ascii="Times New Roman" w:hAnsi="Times New Roman" w:eastAsia="仿宋" w:cs="Times New Roman"/>
          <w:b/>
          <w:sz w:val="24"/>
        </w:rPr>
        <w:t>图2-6 新增建设用地与城市控制性详细规划衔接示意图</w:t>
      </w:r>
    </w:p>
    <w:p>
      <w:pPr>
        <w:autoSpaceDE w:val="0"/>
        <w:autoSpaceDN w:val="0"/>
        <w:adjustRightInd w:val="0"/>
        <w:spacing w:line="360" w:lineRule="auto"/>
        <w:ind w:firstLine="562" w:firstLineChars="200"/>
        <w:outlineLvl w:val="2"/>
        <w:rPr>
          <w:rFonts w:ascii="Times New Roman" w:hAnsi="Times New Roman" w:eastAsia="黑体" w:cs="Times New Roman"/>
          <w:b/>
          <w:bCs/>
          <w:sz w:val="28"/>
        </w:rPr>
      </w:pPr>
      <w:bookmarkStart w:id="30" w:name="_Toc68214209"/>
      <w:r>
        <w:rPr>
          <w:rFonts w:ascii="Times New Roman" w:hAnsi="Times New Roman" w:eastAsia="黑体" w:cs="Times New Roman"/>
          <w:b/>
          <w:bCs/>
          <w:sz w:val="28"/>
        </w:rPr>
        <w:t>2.</w:t>
      </w:r>
      <w:r>
        <w:rPr>
          <w:rFonts w:hint="eastAsia" w:ascii="Times New Roman" w:hAnsi="Times New Roman" w:eastAsia="黑体" w:cs="Times New Roman"/>
          <w:b/>
          <w:bCs/>
          <w:sz w:val="28"/>
        </w:rPr>
        <w:t>4</w:t>
      </w:r>
      <w:r>
        <w:rPr>
          <w:rFonts w:ascii="Times New Roman" w:hAnsi="Times New Roman" w:eastAsia="黑体" w:cs="Times New Roman"/>
          <w:b/>
          <w:bCs/>
          <w:sz w:val="28"/>
        </w:rPr>
        <w:t>.</w:t>
      </w:r>
      <w:r>
        <w:rPr>
          <w:rFonts w:hint="eastAsia" w:ascii="Times New Roman" w:hAnsi="Times New Roman" w:eastAsia="黑体" w:cs="Times New Roman"/>
          <w:b/>
          <w:bCs/>
          <w:sz w:val="28"/>
        </w:rPr>
        <w:t>3 与其他相关规划的衔接</w:t>
      </w:r>
      <w:bookmarkEnd w:id="30"/>
    </w:p>
    <w:p>
      <w:pPr>
        <w:widowControl/>
        <w:shd w:val="clear" w:color="auto" w:fill="FFFFFF"/>
        <w:ind w:firstLine="562" w:firstLineChars="200"/>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（1）</w:t>
      </w:r>
      <w:r>
        <w:rPr>
          <w:rFonts w:ascii="Times New Roman" w:hAnsi="Times New Roman" w:eastAsia="仿宋" w:cs="Times New Roman"/>
          <w:b/>
          <w:bCs/>
          <w:sz w:val="28"/>
          <w:szCs w:val="28"/>
        </w:rPr>
        <w:t>与</w:t>
      </w:r>
      <w:r>
        <w:rPr>
          <w:rFonts w:hint="eastAsia" w:ascii="Times New Roman" w:hAnsi="Times New Roman" w:eastAsia="仿宋" w:cs="Times New Roman"/>
          <w:b/>
          <w:bCs/>
          <w:sz w:val="28"/>
          <w:szCs w:val="28"/>
        </w:rPr>
        <w:t>“</w:t>
      </w:r>
      <w:r>
        <w:rPr>
          <w:rFonts w:ascii="Times New Roman" w:hAnsi="Times New Roman" w:eastAsia="仿宋" w:cs="Times New Roman"/>
          <w:b/>
          <w:bCs/>
          <w:sz w:val="28"/>
          <w:szCs w:val="28"/>
        </w:rPr>
        <w:t>十四五</w:t>
      </w:r>
      <w:r>
        <w:rPr>
          <w:rFonts w:hint="eastAsia" w:ascii="Times New Roman" w:hAnsi="Times New Roman" w:eastAsia="仿宋" w:cs="Times New Roman"/>
          <w:b/>
          <w:bCs/>
          <w:sz w:val="28"/>
          <w:szCs w:val="28"/>
        </w:rPr>
        <w:t>”</w:t>
      </w:r>
      <w:r>
        <w:rPr>
          <w:rFonts w:ascii="Times New Roman" w:hAnsi="Times New Roman" w:eastAsia="仿宋" w:cs="Times New Roman"/>
          <w:b/>
          <w:bCs/>
          <w:sz w:val="28"/>
          <w:szCs w:val="28"/>
        </w:rPr>
        <w:t>国民经济和社会发展规划衔接</w:t>
      </w:r>
    </w:p>
    <w:p>
      <w:pPr>
        <w:widowControl/>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近期实施方案编制过程中加强与“十四五”规划目标、发展战略、空间格局与产业布局、重大基础设施建设等方面的衔接。一是落实“十四五”建设更高水平现代化国际性城市中心的要求，优化发展格局，按照“更新北中、运营南岛、岛城协同”的总体思路，推进“三区一岛”协同发展。二是落实产业品质提升与产城融合的要求，加大产业用地保障力度，提升发展质效，优化形成“三区两中心一港湾”产业布局，增强发展动能，打造长三角地区有影响力的创新名称展示区。三是落实重大基础设施建设要求，强化中心城区基础设施与民生工程保障、补齐城市功能短板、提升城市品质，围绕高质量发展、高品质生活、高起点创新、高水平开放、高效能治理的要求，谱写“强富美高”新建邺新篇章。</w:t>
      </w:r>
    </w:p>
    <w:p>
      <w:pPr>
        <w:widowControl/>
        <w:shd w:val="clear" w:color="auto" w:fill="FFFFFF"/>
        <w:ind w:firstLine="562" w:firstLineChars="200"/>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（2）与交通规划衔接</w:t>
      </w:r>
    </w:p>
    <w:p>
      <w:pPr>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近期实施方案对交通用地按照“列清单、留通道、定规模”的方式予以安排，优先保障“十三五”期间未完成的交通项目用地需求。在国土空间规划编制完成前，对于“十四五”初期急需建设项目</w:t>
      </w:r>
      <w:r>
        <w:rPr>
          <w:rFonts w:ascii="Times New Roman" w:hAnsi="Times New Roman" w:eastAsia="仿宋" w:cs="Times New Roman"/>
          <w:sz w:val="28"/>
          <w:szCs w:val="28"/>
        </w:rPr>
        <w:t>，落实其用地需求，</w:t>
      </w:r>
      <w:r>
        <w:rPr>
          <w:rFonts w:hint="eastAsia" w:ascii="Times New Roman" w:hAnsi="Times New Roman" w:eastAsia="仿宋" w:cs="Times New Roman"/>
          <w:sz w:val="28"/>
          <w:szCs w:val="28"/>
        </w:rPr>
        <w:t>合理分配交通配套设施及交通项目安置区用地指标，</w:t>
      </w:r>
      <w:r>
        <w:rPr>
          <w:rFonts w:ascii="Times New Roman" w:hAnsi="Times New Roman" w:eastAsia="仿宋" w:cs="Times New Roman"/>
          <w:sz w:val="28"/>
          <w:szCs w:val="28"/>
        </w:rPr>
        <w:t>切实提升对外联通能力，</w:t>
      </w:r>
      <w:r>
        <w:rPr>
          <w:rFonts w:hint="eastAsia" w:ascii="Times New Roman" w:hAnsi="Times New Roman" w:eastAsia="仿宋" w:cs="Times New Roman"/>
          <w:sz w:val="28"/>
          <w:szCs w:val="28"/>
        </w:rPr>
        <w:t>进一步完善优化路网体系，</w:t>
      </w:r>
      <w:r>
        <w:rPr>
          <w:rFonts w:ascii="Times New Roman" w:hAnsi="Times New Roman" w:eastAsia="仿宋" w:cs="Times New Roman"/>
          <w:sz w:val="28"/>
          <w:szCs w:val="28"/>
        </w:rPr>
        <w:t>促进城市</w:t>
      </w:r>
      <w:r>
        <w:rPr>
          <w:rFonts w:hint="eastAsia" w:ascii="Times New Roman" w:hAnsi="Times New Roman" w:eastAsia="仿宋" w:cs="Times New Roman"/>
          <w:sz w:val="28"/>
          <w:szCs w:val="28"/>
        </w:rPr>
        <w:t>内部</w:t>
      </w:r>
      <w:r>
        <w:rPr>
          <w:rFonts w:ascii="Times New Roman" w:hAnsi="Times New Roman" w:eastAsia="仿宋" w:cs="Times New Roman"/>
          <w:sz w:val="28"/>
          <w:szCs w:val="28"/>
        </w:rPr>
        <w:t>道路发展。</w:t>
      </w:r>
    </w:p>
    <w:p>
      <w:pPr>
        <w:widowControl/>
        <w:shd w:val="clear" w:color="auto" w:fill="FFFFFF"/>
        <w:ind w:firstLine="562" w:firstLineChars="200"/>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（3）</w:t>
      </w:r>
      <w:r>
        <w:rPr>
          <w:rFonts w:ascii="Times New Roman" w:hAnsi="Times New Roman" w:eastAsia="仿宋" w:cs="Times New Roman"/>
          <w:b/>
          <w:bCs/>
          <w:sz w:val="28"/>
          <w:szCs w:val="28"/>
        </w:rPr>
        <w:t>与</w:t>
      </w:r>
      <w:r>
        <w:rPr>
          <w:rFonts w:hint="eastAsia" w:ascii="Times New Roman" w:hAnsi="Times New Roman" w:eastAsia="仿宋" w:cs="Times New Roman"/>
          <w:b/>
          <w:bCs/>
          <w:sz w:val="28"/>
          <w:szCs w:val="28"/>
        </w:rPr>
        <w:t>水利</w:t>
      </w:r>
      <w:r>
        <w:rPr>
          <w:rFonts w:ascii="Times New Roman" w:hAnsi="Times New Roman" w:eastAsia="仿宋" w:cs="Times New Roman"/>
          <w:b/>
          <w:bCs/>
          <w:sz w:val="28"/>
          <w:szCs w:val="28"/>
        </w:rPr>
        <w:t>规划衔接</w:t>
      </w:r>
    </w:p>
    <w:p>
      <w:pPr>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近期实施方案编制过程中强化了与各类水利设施用地的衔接，加强了区内水利设施的用地保障，如新加坡·南京生态科技岛大江侧滨江堤防加固工程、长江南京段崩岸治理工程等，进一步提升水资源优化配置和水旱灾害防御能力，强化了水资源节约集约利用与优化配置、水资源保护和河湖健康保障体系。</w:t>
      </w:r>
    </w:p>
    <w:p>
      <w:pPr>
        <w:widowControl/>
        <w:shd w:val="clear" w:color="auto" w:fill="FFFFFF"/>
        <w:ind w:firstLine="562" w:firstLineChars="200"/>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（4）</w:t>
      </w:r>
      <w:r>
        <w:rPr>
          <w:rFonts w:ascii="Times New Roman" w:hAnsi="Times New Roman" w:eastAsia="仿宋" w:cs="Times New Roman"/>
          <w:b/>
          <w:bCs/>
          <w:sz w:val="28"/>
          <w:szCs w:val="28"/>
        </w:rPr>
        <w:t>与生态空间管控区域规划衔接</w:t>
      </w:r>
    </w:p>
    <w:p>
      <w:pPr>
        <w:widowControl/>
        <w:shd w:val="clear" w:color="auto" w:fill="FFFFFF"/>
        <w:ind w:firstLine="560" w:firstLineChars="200"/>
        <w:rPr>
          <w:rFonts w:ascii="Times New Roman" w:hAnsi="Times New Roman" w:eastAsia="仿宋" w:cs="Times New Roman"/>
          <w:sz w:val="28"/>
          <w:szCs w:val="32"/>
        </w:rPr>
      </w:pPr>
      <w:r>
        <w:rPr>
          <w:rFonts w:hint="eastAsia" w:ascii="Times New Roman" w:hAnsi="Times New Roman" w:eastAsia="仿宋" w:cs="Times New Roman"/>
          <w:sz w:val="28"/>
          <w:szCs w:val="28"/>
        </w:rPr>
        <w:t>根据《省政府关于印发江苏省生态空间管控区域规划的通知》（苏政发〔</w:t>
      </w:r>
      <w:r>
        <w:rPr>
          <w:rFonts w:ascii="Times New Roman" w:hAnsi="Times New Roman" w:eastAsia="仿宋" w:cs="Times New Roman"/>
          <w:sz w:val="28"/>
          <w:szCs w:val="28"/>
        </w:rPr>
        <w:t>2020〕1号）</w:t>
      </w:r>
      <w:r>
        <w:rPr>
          <w:rFonts w:hint="eastAsia" w:ascii="Times New Roman" w:hAnsi="Times New Roman" w:eastAsia="仿宋" w:cs="Times New Roman"/>
          <w:sz w:val="28"/>
          <w:szCs w:val="28"/>
        </w:rPr>
        <w:t>，建邺区行政辖区内生态空间保护区域8个，包括夹江饮用水水源保护区（建邺区）、夹江饮用水水源保护区（鼓楼区）、江浦－浦口饮用水水源保护区、南京市绿水湾国家城市湿地公园等。近期实施方案与生态空间管控区域进行了充分衔接并征求生态环境部门意见，结合正在开展的生态空间管控区域优化调整工作，严格控制调整后的生态空间管控区域内新增城镇建设用地，以进一步保护生态资源，促进生态文明建设。基础设施未开展有损主导生态功能的开发建设活动，并严格按照《省政府关于印发江苏省生态空间管控区域规划的通知》（苏政发〔</w:t>
      </w:r>
      <w:r>
        <w:rPr>
          <w:rFonts w:ascii="Times New Roman" w:hAnsi="Times New Roman" w:eastAsia="仿宋" w:cs="Times New Roman"/>
          <w:sz w:val="28"/>
          <w:szCs w:val="28"/>
        </w:rPr>
        <w:t>2020〕1号）《省政府办公厅关于印发江苏省生态空间管控区域调整管理办法的通知》（苏政办发〔2021〕3号）等相关政策规</w:t>
      </w:r>
      <w:r>
        <w:rPr>
          <w:rFonts w:hint="eastAsia" w:ascii="Times New Roman" w:hAnsi="Times New Roman" w:eastAsia="仿宋" w:cs="Times New Roman"/>
          <w:sz w:val="28"/>
          <w:szCs w:val="28"/>
        </w:rPr>
        <w:t>定管控</w:t>
      </w:r>
      <w:r>
        <w:rPr>
          <w:rFonts w:hint="eastAsia" w:ascii="Times New Roman" w:hAnsi="Times New Roman" w:eastAsia="仿宋" w:cs="Times New Roman"/>
          <w:sz w:val="28"/>
          <w:szCs w:val="32"/>
        </w:rPr>
        <w:t>。</w:t>
      </w:r>
    </w:p>
    <w:p>
      <w:pPr>
        <w:spacing w:line="360" w:lineRule="auto"/>
        <w:jc w:val="center"/>
        <w:rPr>
          <w:rFonts w:ascii="Times New Roman" w:hAnsi="Times New Roman" w:eastAsia="仿宋_GB2312" w:cs="Times New Roman"/>
          <w:sz w:val="28"/>
          <w:szCs w:val="28"/>
        </w:rPr>
      </w:pPr>
      <w:r>
        <w:drawing>
          <wp:inline distT="0" distB="0" distL="0" distR="0">
            <wp:extent cx="3599815" cy="4010025"/>
            <wp:effectExtent l="19050" t="19050" r="19685" b="285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9"/>
                    <a:stretch>
                      <a:fillRect/>
                    </a:stretch>
                  </pic:blipFill>
                  <pic:spPr>
                    <a:xfrm>
                      <a:off x="0" y="0"/>
                      <a:ext cx="3600000" cy="4010400"/>
                    </a:xfrm>
                    <a:prstGeom prst="rect">
                      <a:avLst/>
                    </a:prstGeom>
                    <a:ln>
                      <a:solidFill>
                        <a:schemeClr val="bg1">
                          <a:lumMod val="50000"/>
                        </a:schemeClr>
                      </a:solidFill>
                    </a:ln>
                  </pic:spPr>
                </pic:pic>
              </a:graphicData>
            </a:graphic>
          </wp:inline>
        </w:drawing>
      </w:r>
    </w:p>
    <w:p>
      <w:pPr>
        <w:spacing w:before="156" w:beforeLines="50" w:after="156" w:afterLines="50"/>
        <w:jc w:val="center"/>
        <w:rPr>
          <w:rFonts w:ascii="Times New Roman" w:hAnsi="Times New Roman" w:eastAsia="仿宋" w:cs="Times New Roman"/>
          <w:b/>
          <w:sz w:val="24"/>
        </w:rPr>
      </w:pPr>
      <w:r>
        <w:rPr>
          <w:rFonts w:hint="eastAsia" w:ascii="Times New Roman" w:hAnsi="Times New Roman" w:eastAsia="仿宋" w:cs="Times New Roman"/>
          <w:b/>
          <w:sz w:val="24"/>
        </w:rPr>
        <w:t>图2-7 新增建设用地与生态管控区域衔接图</w:t>
      </w:r>
      <w:r>
        <w:rPr>
          <w:rFonts w:ascii="Times New Roman" w:hAnsi="Times New Roman" w:eastAsia="仿宋_GB2312" w:cs="Times New Roman"/>
          <w:sz w:val="28"/>
          <w:szCs w:val="28"/>
        </w:rPr>
        <w:br w:type="page"/>
      </w:r>
    </w:p>
    <w:p>
      <w:pPr>
        <w:spacing w:line="360" w:lineRule="auto"/>
        <w:outlineLvl w:val="0"/>
        <w:rPr>
          <w:rFonts w:ascii="Times New Roman" w:hAnsi="Times New Roman" w:eastAsia="黑体" w:cs="Times New Roman"/>
          <w:b/>
          <w:bCs/>
          <w:sz w:val="32"/>
          <w:szCs w:val="32"/>
        </w:rPr>
      </w:pPr>
      <w:bookmarkStart w:id="31" w:name="_Toc68214210"/>
      <w:r>
        <w:rPr>
          <w:rFonts w:ascii="Times New Roman" w:hAnsi="Times New Roman" w:eastAsia="黑体" w:cs="Times New Roman"/>
          <w:b/>
          <w:bCs/>
          <w:sz w:val="32"/>
          <w:szCs w:val="32"/>
        </w:rPr>
        <w:t>3 实施保障措施</w:t>
      </w:r>
      <w:bookmarkEnd w:id="31"/>
    </w:p>
    <w:p>
      <w:pPr>
        <w:outlineLvl w:val="1"/>
        <w:rPr>
          <w:rFonts w:ascii="Times New Roman" w:hAnsi="Times New Roman" w:eastAsia="黑体" w:cs="Times New Roman"/>
          <w:b/>
          <w:kern w:val="0"/>
          <w:sz w:val="28"/>
          <w:szCs w:val="32"/>
        </w:rPr>
      </w:pPr>
      <w:bookmarkStart w:id="32" w:name="_Toc371324905"/>
      <w:bookmarkStart w:id="33" w:name="_Toc411692692"/>
      <w:bookmarkStart w:id="34" w:name="_Toc63151737"/>
      <w:bookmarkStart w:id="35" w:name="_Toc68214211"/>
      <w:r>
        <w:rPr>
          <w:rFonts w:ascii="Times New Roman" w:hAnsi="Times New Roman" w:eastAsia="黑体" w:cs="Times New Roman"/>
          <w:b/>
          <w:kern w:val="0"/>
          <w:sz w:val="28"/>
          <w:szCs w:val="32"/>
        </w:rPr>
        <w:t>3.1 强化</w:t>
      </w:r>
      <w:r>
        <w:rPr>
          <w:rFonts w:hint="eastAsia" w:ascii="Times New Roman" w:hAnsi="Times New Roman" w:eastAsia="黑体" w:cs="Times New Roman"/>
          <w:b/>
          <w:kern w:val="0"/>
          <w:sz w:val="28"/>
          <w:szCs w:val="32"/>
        </w:rPr>
        <w:t>各项</w:t>
      </w:r>
      <w:r>
        <w:rPr>
          <w:rFonts w:ascii="Times New Roman" w:hAnsi="Times New Roman" w:eastAsia="黑体" w:cs="Times New Roman"/>
          <w:b/>
          <w:kern w:val="0"/>
          <w:sz w:val="28"/>
          <w:szCs w:val="32"/>
        </w:rPr>
        <w:t>新增建设用地审查</w:t>
      </w:r>
      <w:bookmarkEnd w:id="32"/>
      <w:bookmarkEnd w:id="33"/>
      <w:bookmarkEnd w:id="34"/>
      <w:bookmarkEnd w:id="35"/>
    </w:p>
    <w:p>
      <w:pPr>
        <w:widowControl/>
        <w:shd w:val="clear" w:color="auto" w:fill="FFFFFF"/>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在符合近期实施方案和城乡总体规划前提下，</w:t>
      </w:r>
      <w:r>
        <w:rPr>
          <w:rFonts w:hint="eastAsia" w:ascii="Times New Roman" w:hAnsi="Times New Roman" w:eastAsia="仿宋" w:cs="Times New Roman"/>
          <w:sz w:val="28"/>
          <w:szCs w:val="28"/>
        </w:rPr>
        <w:t>新增建设用地</w:t>
      </w:r>
      <w:r>
        <w:rPr>
          <w:rFonts w:ascii="Times New Roman" w:hAnsi="Times New Roman" w:eastAsia="仿宋" w:cs="Times New Roman"/>
          <w:sz w:val="28"/>
          <w:szCs w:val="28"/>
        </w:rPr>
        <w:t>需符合</w:t>
      </w:r>
      <w:r>
        <w:rPr>
          <w:rFonts w:hint="eastAsia" w:ascii="Times New Roman" w:hAnsi="Times New Roman" w:eastAsia="仿宋" w:cs="Times New Roman"/>
          <w:sz w:val="28"/>
          <w:szCs w:val="28"/>
        </w:rPr>
        <w:t>“</w:t>
      </w:r>
      <w:r>
        <w:rPr>
          <w:rFonts w:ascii="Times New Roman" w:hAnsi="Times New Roman" w:eastAsia="仿宋" w:cs="Times New Roman"/>
          <w:sz w:val="28"/>
          <w:szCs w:val="28"/>
        </w:rPr>
        <w:t>资源集中、用地集约、产业集聚、效益集显</w:t>
      </w:r>
      <w:r>
        <w:rPr>
          <w:rFonts w:hint="eastAsia" w:ascii="Times New Roman" w:hAnsi="Times New Roman" w:eastAsia="仿宋" w:cs="Times New Roman"/>
          <w:sz w:val="28"/>
          <w:szCs w:val="28"/>
        </w:rPr>
        <w:t>”</w:t>
      </w:r>
      <w:r>
        <w:rPr>
          <w:rFonts w:ascii="Times New Roman" w:hAnsi="Times New Roman" w:eastAsia="仿宋" w:cs="Times New Roman"/>
          <w:sz w:val="28"/>
          <w:szCs w:val="28"/>
        </w:rPr>
        <w:t>的要求，杜绝低投入、低产出、低税收、土地利用粗放型项目落户。自然资源管理部门重点对项目用地的规划性质、产业布局、投资规模、投资强度、产业类型、建筑系数、容积率、行政办公及生活服务设施用地比例等方面进行审查，对新增建设用地实行差别化土地供应政策。</w:t>
      </w:r>
    </w:p>
    <w:p>
      <w:pPr>
        <w:outlineLvl w:val="1"/>
        <w:rPr>
          <w:rFonts w:ascii="Times New Roman" w:hAnsi="Times New Roman" w:eastAsia="黑体" w:cs="Times New Roman"/>
          <w:b/>
          <w:kern w:val="0"/>
          <w:sz w:val="28"/>
          <w:szCs w:val="32"/>
        </w:rPr>
      </w:pPr>
      <w:bookmarkStart w:id="36" w:name="_Toc63151738"/>
      <w:bookmarkStart w:id="37" w:name="_Toc68214212"/>
      <w:r>
        <w:rPr>
          <w:rFonts w:hint="eastAsia" w:ascii="Times New Roman" w:hAnsi="Times New Roman" w:eastAsia="黑体" w:cs="Times New Roman"/>
          <w:b/>
          <w:kern w:val="0"/>
          <w:sz w:val="28"/>
          <w:szCs w:val="32"/>
        </w:rPr>
        <w:t>3.2</w:t>
      </w:r>
      <w:r>
        <w:rPr>
          <w:rFonts w:ascii="Times New Roman" w:hAnsi="Times New Roman" w:eastAsia="黑体" w:cs="Times New Roman"/>
          <w:b/>
          <w:kern w:val="0"/>
          <w:sz w:val="28"/>
          <w:szCs w:val="32"/>
        </w:rPr>
        <w:t xml:space="preserve"> </w:t>
      </w:r>
      <w:r>
        <w:rPr>
          <w:rFonts w:hint="eastAsia" w:ascii="Times New Roman" w:hAnsi="Times New Roman" w:eastAsia="黑体" w:cs="Times New Roman"/>
          <w:b/>
          <w:kern w:val="0"/>
          <w:sz w:val="28"/>
          <w:szCs w:val="32"/>
        </w:rPr>
        <w:t>深入</w:t>
      </w:r>
      <w:r>
        <w:rPr>
          <w:rFonts w:ascii="Times New Roman" w:hAnsi="Times New Roman" w:eastAsia="黑体" w:cs="Times New Roman"/>
          <w:b/>
          <w:kern w:val="0"/>
          <w:sz w:val="28"/>
          <w:szCs w:val="32"/>
        </w:rPr>
        <w:t>推进土地节约集约利用</w:t>
      </w:r>
      <w:bookmarkEnd w:id="36"/>
      <w:bookmarkEnd w:id="37"/>
    </w:p>
    <w:p>
      <w:pPr>
        <w:widowControl/>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近期实施方案实施过程中</w:t>
      </w:r>
      <w:r>
        <w:rPr>
          <w:rFonts w:ascii="Times New Roman" w:hAnsi="Times New Roman" w:eastAsia="仿宋" w:cs="Times New Roman"/>
          <w:sz w:val="28"/>
          <w:szCs w:val="28"/>
        </w:rPr>
        <w:t>，应充分发挥政府对土地市场的调控作用，促进建设用地的合理利用和优化配置，缓解建设用地供求紧张矛盾。一方面将工业用地地均GDP、投资强度、闲置低效用地盘活、耕地保护</w:t>
      </w:r>
      <w:r>
        <w:rPr>
          <w:rFonts w:hint="eastAsia" w:ascii="Times New Roman" w:hAnsi="Times New Roman" w:eastAsia="仿宋" w:cs="Times New Roman"/>
          <w:sz w:val="28"/>
          <w:szCs w:val="28"/>
        </w:rPr>
        <w:t>等</w:t>
      </w:r>
      <w:r>
        <w:rPr>
          <w:rFonts w:ascii="Times New Roman" w:hAnsi="Times New Roman" w:eastAsia="仿宋" w:cs="Times New Roman"/>
          <w:sz w:val="28"/>
          <w:szCs w:val="28"/>
        </w:rPr>
        <w:t>项目实施等列入园区、</w:t>
      </w:r>
      <w:r>
        <w:rPr>
          <w:rFonts w:hint="eastAsia" w:ascii="Times New Roman" w:hAnsi="Times New Roman" w:eastAsia="仿宋" w:cs="Times New Roman"/>
          <w:sz w:val="28"/>
          <w:szCs w:val="28"/>
        </w:rPr>
        <w:t>街道</w:t>
      </w:r>
      <w:r>
        <w:rPr>
          <w:rFonts w:ascii="Times New Roman" w:hAnsi="Times New Roman" w:eastAsia="仿宋" w:cs="Times New Roman"/>
          <w:sz w:val="28"/>
          <w:szCs w:val="28"/>
        </w:rPr>
        <w:t>政府目标考核体系实施严格考核。另一方面</w:t>
      </w:r>
      <w:r>
        <w:rPr>
          <w:rFonts w:hint="eastAsia" w:ascii="Times New Roman" w:hAnsi="Times New Roman" w:eastAsia="仿宋" w:cs="Times New Roman"/>
          <w:sz w:val="28"/>
          <w:szCs w:val="28"/>
        </w:rPr>
        <w:t>加大存量建设用地盘活力度，全面梳理各街道存量闲置建设用地资源，明确盘活利用时序与节点。三是结合城市更新改造深入实施城镇低效用地再开发利用，用足用好存量资源</w:t>
      </w:r>
      <w:r>
        <w:rPr>
          <w:rFonts w:ascii="Times New Roman" w:hAnsi="Times New Roman" w:eastAsia="仿宋" w:cs="Times New Roman"/>
          <w:sz w:val="28"/>
          <w:szCs w:val="28"/>
        </w:rPr>
        <w:t>。</w:t>
      </w:r>
    </w:p>
    <w:p>
      <w:pPr>
        <w:outlineLvl w:val="1"/>
        <w:rPr>
          <w:rFonts w:ascii="Times New Roman" w:hAnsi="Times New Roman" w:eastAsia="黑体" w:cs="Times New Roman"/>
          <w:b/>
          <w:kern w:val="0"/>
          <w:sz w:val="28"/>
          <w:szCs w:val="32"/>
        </w:rPr>
      </w:pPr>
      <w:bookmarkStart w:id="38" w:name="_Toc63151740"/>
      <w:bookmarkStart w:id="39" w:name="_Toc68214213"/>
      <w:r>
        <w:rPr>
          <w:rFonts w:hint="eastAsia" w:ascii="Times New Roman" w:hAnsi="Times New Roman" w:eastAsia="黑体" w:cs="Times New Roman"/>
          <w:b/>
          <w:kern w:val="0"/>
          <w:sz w:val="28"/>
          <w:szCs w:val="32"/>
        </w:rPr>
        <w:t>3.3</w:t>
      </w:r>
      <w:r>
        <w:rPr>
          <w:rFonts w:ascii="Times New Roman" w:hAnsi="Times New Roman" w:eastAsia="黑体" w:cs="Times New Roman"/>
          <w:b/>
          <w:kern w:val="0"/>
          <w:sz w:val="28"/>
          <w:szCs w:val="32"/>
        </w:rPr>
        <w:t xml:space="preserve"> </w:t>
      </w:r>
      <w:r>
        <w:rPr>
          <w:rFonts w:hint="eastAsia" w:ascii="Times New Roman" w:hAnsi="Times New Roman" w:eastAsia="黑体" w:cs="Times New Roman"/>
          <w:b/>
          <w:kern w:val="0"/>
          <w:sz w:val="28"/>
          <w:szCs w:val="32"/>
        </w:rPr>
        <w:t>保障利益相关者的合法权益</w:t>
      </w:r>
      <w:bookmarkEnd w:id="38"/>
      <w:bookmarkEnd w:id="39"/>
    </w:p>
    <w:p>
      <w:pPr>
        <w:widowControl/>
        <w:shd w:val="clear" w:color="auto" w:fill="FFFFFF"/>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近期</w:t>
      </w:r>
      <w:r>
        <w:rPr>
          <w:rFonts w:ascii="Times New Roman" w:hAnsi="Times New Roman" w:eastAsia="仿宋" w:cs="Times New Roman"/>
          <w:sz w:val="28"/>
          <w:szCs w:val="28"/>
        </w:rPr>
        <w:t>实施方案</w:t>
      </w:r>
      <w:r>
        <w:rPr>
          <w:rFonts w:hint="eastAsia" w:ascii="Times New Roman" w:hAnsi="Times New Roman" w:eastAsia="仿宋" w:cs="Times New Roman"/>
          <w:sz w:val="28"/>
          <w:szCs w:val="28"/>
        </w:rPr>
        <w:t>涉及相关利益者主要为被征地农民的拆迁农村，实施过程中需严格执行各类补偿标准，保障利益相关者的合法权益。同时要开展社会稳定风险评估，强化</w:t>
      </w:r>
      <w:r>
        <w:rPr>
          <w:rFonts w:ascii="Times New Roman" w:hAnsi="Times New Roman" w:eastAsia="仿宋" w:cs="Times New Roman"/>
          <w:sz w:val="28"/>
          <w:szCs w:val="28"/>
        </w:rPr>
        <w:t>拆迁补偿、安置、就业渠道问题和重大项目建设带来的自然生态环境、周边居民生活影响等风险评估，从源头上防范、化解农村居民点拆迁和重大项目实施运行过程中可能引发的社会矛盾，做好社会稳定工作。</w:t>
      </w:r>
    </w:p>
    <w:p>
      <w:pPr>
        <w:outlineLvl w:val="1"/>
        <w:rPr>
          <w:rFonts w:ascii="Times New Roman" w:hAnsi="Times New Roman" w:eastAsia="黑体" w:cs="Times New Roman"/>
          <w:b/>
          <w:kern w:val="0"/>
          <w:sz w:val="28"/>
          <w:szCs w:val="32"/>
        </w:rPr>
      </w:pPr>
      <w:bookmarkStart w:id="40" w:name="_Toc68214214"/>
      <w:bookmarkStart w:id="41" w:name="_Toc63151741"/>
      <w:r>
        <w:rPr>
          <w:rFonts w:hint="eastAsia" w:ascii="Times New Roman" w:hAnsi="Times New Roman" w:eastAsia="黑体" w:cs="Times New Roman"/>
          <w:b/>
          <w:kern w:val="0"/>
          <w:sz w:val="28"/>
          <w:szCs w:val="32"/>
        </w:rPr>
        <w:t>3.4</w:t>
      </w:r>
      <w:r>
        <w:rPr>
          <w:rFonts w:ascii="Times New Roman" w:hAnsi="Times New Roman" w:eastAsia="黑体" w:cs="Times New Roman"/>
          <w:b/>
          <w:kern w:val="0"/>
          <w:sz w:val="28"/>
          <w:szCs w:val="32"/>
        </w:rPr>
        <w:t xml:space="preserve"> </w:t>
      </w:r>
      <w:r>
        <w:rPr>
          <w:rFonts w:hint="eastAsia" w:ascii="Times New Roman" w:hAnsi="Times New Roman" w:eastAsia="黑体" w:cs="Times New Roman"/>
          <w:b/>
          <w:kern w:val="0"/>
          <w:sz w:val="28"/>
          <w:szCs w:val="32"/>
        </w:rPr>
        <w:t>加强实施监测与公众参与</w:t>
      </w:r>
      <w:bookmarkEnd w:id="40"/>
      <w:bookmarkEnd w:id="41"/>
    </w:p>
    <w:p>
      <w:pPr>
        <w:widowControl/>
        <w:shd w:val="clear" w:color="auto" w:fill="FFFFFF"/>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严格核定地方项目用地规模，及时发现并制止违反近期实施方案的行为，切实维护国土空间规划近期实施方案的严肃性、权威性和宏观调控性。加大近期实施方案的宣传力度，依法公告，采用多种途径广泛宣传，让社会理解规划、监督方案的实施，及时听取各方意见，接</w:t>
      </w:r>
      <w:r>
        <w:rPr>
          <w:rFonts w:hint="eastAsia" w:ascii="Times New Roman" w:hAnsi="Times New Roman" w:eastAsia="仿宋" w:cs="Times New Roman"/>
          <w:sz w:val="28"/>
          <w:szCs w:val="28"/>
        </w:rPr>
        <w:t>受</w:t>
      </w:r>
      <w:r>
        <w:rPr>
          <w:rFonts w:ascii="Times New Roman" w:hAnsi="Times New Roman" w:eastAsia="仿宋" w:cs="Times New Roman"/>
          <w:sz w:val="28"/>
          <w:szCs w:val="28"/>
        </w:rPr>
        <w:t>社会监督、健全公共参与制度。</w:t>
      </w:r>
    </w:p>
    <w:p>
      <w:pPr>
        <w:widowControl/>
        <w:shd w:val="clear" w:color="auto" w:fill="FFFFFF"/>
        <w:ind w:firstLine="560" w:firstLineChars="200"/>
        <w:rPr>
          <w:rFonts w:ascii="仿宋_GB2312" w:hAnsi="Times New Roman" w:eastAsia="仿宋_GB2312" w:cs="Times New Roman"/>
          <w:sz w:val="28"/>
          <w:szCs w:val="28"/>
        </w:rPr>
      </w:pPr>
      <w:r>
        <w:rPr>
          <w:rFonts w:ascii="仿宋_GB2312" w:hAnsi="Times New Roman" w:eastAsia="仿宋_GB2312" w:cs="Times New Roman"/>
          <w:sz w:val="28"/>
          <w:szCs w:val="28"/>
        </w:rPr>
        <w:br w:type="page"/>
      </w:r>
    </w:p>
    <w:p>
      <w:pPr>
        <w:spacing w:line="360" w:lineRule="auto"/>
        <w:outlineLvl w:val="0"/>
        <w:rPr>
          <w:rFonts w:ascii="Times New Roman" w:hAnsi="Times New Roman" w:eastAsia="黑体" w:cs="Times New Roman"/>
          <w:b/>
          <w:bCs/>
          <w:sz w:val="32"/>
          <w:szCs w:val="32"/>
        </w:rPr>
      </w:pPr>
      <w:bookmarkStart w:id="42" w:name="_Toc63080292"/>
      <w:bookmarkStart w:id="43" w:name="_Toc63170190"/>
      <w:bookmarkStart w:id="44" w:name="_Toc68214215"/>
      <w:r>
        <w:rPr>
          <w:rFonts w:ascii="Times New Roman" w:hAnsi="Times New Roman" w:eastAsia="黑体" w:cs="Times New Roman"/>
          <w:b/>
          <w:bCs/>
          <w:sz w:val="32"/>
          <w:szCs w:val="32"/>
        </w:rPr>
        <w:t>附表</w:t>
      </w:r>
      <w:bookmarkEnd w:id="42"/>
      <w:bookmarkEnd w:id="43"/>
      <w:bookmarkEnd w:id="44"/>
    </w:p>
    <w:p>
      <w:pPr>
        <w:widowControl/>
        <w:shd w:val="clear" w:color="auto" w:fill="FFFFFF"/>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附表1：规划主要控制指标表</w:t>
      </w:r>
    </w:p>
    <w:p>
      <w:pPr>
        <w:widowControl/>
        <w:shd w:val="clear" w:color="auto" w:fill="FFFFFF"/>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附表2：主要规划指标分解落实表</w:t>
      </w:r>
    </w:p>
    <w:p>
      <w:pPr>
        <w:widowControl/>
        <w:shd w:val="clear" w:color="auto" w:fill="FFFFFF"/>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附表3：重点建设项目用地规划表</w:t>
      </w:r>
    </w:p>
    <w:p>
      <w:pPr>
        <w:widowControl/>
        <w:jc w:val="left"/>
        <w:rPr>
          <w:rFonts w:ascii="Times New Roman" w:hAnsi="Times New Roman" w:eastAsia="仿宋_GB2312" w:cs="Times New Roman"/>
          <w:sz w:val="28"/>
          <w:szCs w:val="28"/>
        </w:rPr>
      </w:pPr>
      <w:r>
        <w:rPr>
          <w:rFonts w:ascii="Times New Roman" w:hAnsi="Times New Roman" w:eastAsia="仿宋_GB2312" w:cs="Times New Roman"/>
          <w:sz w:val="28"/>
          <w:szCs w:val="28"/>
        </w:rPr>
        <w:br w:type="page"/>
      </w:r>
    </w:p>
    <w:p>
      <w:pPr>
        <w:spacing w:line="360" w:lineRule="auto"/>
        <w:jc w:val="center"/>
        <w:rPr>
          <w:rFonts w:ascii="Times New Roman" w:hAnsi="Times New Roman" w:eastAsia="仿宋" w:cs="Times New Roman"/>
          <w:b/>
          <w:bCs/>
          <w:sz w:val="30"/>
          <w:szCs w:val="30"/>
        </w:rPr>
      </w:pPr>
      <w:r>
        <w:rPr>
          <w:rFonts w:ascii="Times New Roman" w:hAnsi="Times New Roman" w:eastAsia="仿宋" w:cs="Times New Roman"/>
          <w:b/>
          <w:bCs/>
          <w:sz w:val="30"/>
          <w:szCs w:val="30"/>
        </w:rPr>
        <w:t>附表1 规划主要控制指标表</w:t>
      </w:r>
    </w:p>
    <w:p>
      <w:pPr>
        <w:wordWrap w:val="0"/>
        <w:autoSpaceDE w:val="0"/>
        <w:autoSpaceDN w:val="0"/>
        <w:adjustRightInd w:val="0"/>
        <w:spacing w:line="360" w:lineRule="auto"/>
        <w:ind w:firstLine="480" w:firstLineChars="200"/>
        <w:jc w:val="right"/>
        <w:rPr>
          <w:rFonts w:ascii="Times New Roman" w:hAnsi="Times New Roman" w:eastAsia="仿宋" w:cs="Times New Roman"/>
          <w:sz w:val="24"/>
          <w:szCs w:val="24"/>
        </w:rPr>
      </w:pPr>
      <w:r>
        <w:rPr>
          <w:rFonts w:ascii="Times New Roman" w:hAnsi="Times New Roman" w:eastAsia="仿宋" w:cs="Times New Roman"/>
          <w:sz w:val="24"/>
          <w:szCs w:val="24"/>
        </w:rPr>
        <w:t>单位：公顷</w:t>
      </w:r>
      <w:r>
        <w:rPr>
          <w:rFonts w:hint="eastAsia" w:ascii="Times New Roman" w:hAnsi="Times New Roman" w:eastAsia="仿宋" w:cs="Times New Roman"/>
          <w:sz w:val="24"/>
          <w:szCs w:val="24"/>
        </w:rPr>
        <w:t xml:space="preserve">、平方米/人 </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85"/>
        <w:gridCol w:w="2052"/>
        <w:gridCol w:w="1417"/>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blHeader/>
          <w:jc w:val="center"/>
        </w:trPr>
        <w:tc>
          <w:tcPr>
            <w:tcW w:w="3585" w:type="dxa"/>
            <w:shd w:val="clear" w:color="auto" w:fill="auto"/>
            <w:vAlign w:val="center"/>
          </w:tcPr>
          <w:p>
            <w:pPr>
              <w:widowControl/>
              <w:jc w:val="center"/>
              <w:rPr>
                <w:rFonts w:ascii="Times New Roman" w:hAnsi="Times New Roman" w:eastAsia="仿宋" w:cs="Times New Roman"/>
                <w:b/>
                <w:bCs/>
                <w:color w:val="000000"/>
                <w:kern w:val="0"/>
                <w:sz w:val="22"/>
              </w:rPr>
            </w:pPr>
            <w:bookmarkStart w:id="45" w:name="_Hlk68183587"/>
            <w:r>
              <w:rPr>
                <w:rFonts w:ascii="Times New Roman" w:hAnsi="Times New Roman" w:eastAsia="仿宋" w:cs="Times New Roman"/>
                <w:b/>
                <w:bCs/>
                <w:color w:val="000000"/>
                <w:kern w:val="0"/>
                <w:sz w:val="22"/>
              </w:rPr>
              <w:t>指标</w:t>
            </w:r>
          </w:p>
        </w:tc>
        <w:tc>
          <w:tcPr>
            <w:tcW w:w="2052" w:type="dxa"/>
            <w:shd w:val="clear" w:color="auto" w:fill="auto"/>
            <w:vAlign w:val="center"/>
          </w:tcPr>
          <w:p>
            <w:pPr>
              <w:widowControl/>
              <w:jc w:val="center"/>
              <w:rPr>
                <w:rFonts w:ascii="Times New Roman" w:hAnsi="Times New Roman" w:eastAsia="仿宋" w:cs="Times New Roman"/>
                <w:b/>
                <w:bCs/>
                <w:color w:val="000000"/>
                <w:kern w:val="0"/>
                <w:sz w:val="22"/>
              </w:rPr>
            </w:pPr>
            <w:bookmarkStart w:id="46" w:name="_Hlk65956359"/>
            <w:r>
              <w:rPr>
                <w:rFonts w:ascii="Times New Roman" w:hAnsi="Times New Roman" w:eastAsia="仿宋" w:cs="Times New Roman"/>
                <w:b/>
                <w:bCs/>
                <w:color w:val="000000"/>
                <w:kern w:val="0"/>
                <w:sz w:val="22"/>
              </w:rPr>
              <w:t>土地利用总体规划</w:t>
            </w:r>
            <w:r>
              <w:rPr>
                <w:rFonts w:hint="eastAsia" w:ascii="Times New Roman" w:hAnsi="Times New Roman" w:eastAsia="仿宋" w:cs="Times New Roman"/>
                <w:b/>
                <w:bCs/>
                <w:color w:val="000000"/>
                <w:kern w:val="0"/>
                <w:sz w:val="22"/>
              </w:rPr>
              <w:t>（2006-</w:t>
            </w:r>
            <w:r>
              <w:rPr>
                <w:rFonts w:ascii="Times New Roman" w:hAnsi="Times New Roman" w:eastAsia="仿宋" w:cs="Times New Roman"/>
                <w:b/>
                <w:bCs/>
                <w:color w:val="000000"/>
                <w:kern w:val="0"/>
                <w:sz w:val="22"/>
              </w:rPr>
              <w:t>2020</w:t>
            </w:r>
            <w:r>
              <w:rPr>
                <w:rFonts w:hint="eastAsia" w:ascii="Times New Roman" w:hAnsi="Times New Roman" w:eastAsia="仿宋" w:cs="Times New Roman"/>
                <w:b/>
                <w:bCs/>
                <w:color w:val="000000"/>
                <w:kern w:val="0"/>
                <w:sz w:val="22"/>
              </w:rPr>
              <w:t>年）</w:t>
            </w:r>
          </w:p>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规划目标</w:t>
            </w:r>
            <w:bookmarkEnd w:id="46"/>
          </w:p>
        </w:tc>
        <w:tc>
          <w:tcPr>
            <w:tcW w:w="1417" w:type="dxa"/>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规划目标</w:t>
            </w:r>
          </w:p>
        </w:tc>
        <w:tc>
          <w:tcPr>
            <w:tcW w:w="1468" w:type="dxa"/>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变化量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耕地保有量</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w:t>
            </w:r>
            <w:r>
              <w:rPr>
                <w:rFonts w:hint="eastAsia" w:ascii="Times New Roman" w:hAnsi="Times New Roman" w:eastAsia="仿宋" w:cs="Times New Roman"/>
                <w:color w:val="000000"/>
                <w:kern w:val="0"/>
                <w:sz w:val="22"/>
              </w:rPr>
              <w:t>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耕地面积</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000000" w:fill="FFFFFF"/>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永久基本农田保护面积</w:t>
            </w:r>
          </w:p>
        </w:tc>
        <w:tc>
          <w:tcPr>
            <w:tcW w:w="2052" w:type="dxa"/>
            <w:shd w:val="clear" w:color="000000" w:fill="FFFFFF"/>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c>
          <w:tcPr>
            <w:tcW w:w="1468" w:type="dxa"/>
            <w:shd w:val="clear" w:color="000000" w:fill="FFFFFF"/>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园地面积</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340.0000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340.0000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林地面积</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130.0000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130.0000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牧草地面积</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建设用地总规模</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5548.3464</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5548.3464</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城乡建设用地规模</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4836.8464</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4836.8464</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城镇工矿用地规模</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4159.6464</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4159.6464</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交通水利及其他用地规模</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711.5000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711.5000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新增建设用地</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519.0464</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519.0464</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新增建设用地占用农用地</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519.0464</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519.0464</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新增建设用地占用耕地</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264.6000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264.6000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土地整治补充耕地义务</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264.6000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264.6000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人均城镇工矿用地</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55.0000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55.0000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新增城乡建设用地上图规模</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517.5464</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517.5464</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 xml:space="preserve">  其中规划流量指标</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乡村振兴专项流量指标</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新增交通水利及其他用地上图规模</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1.5000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1.5000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85" w:type="dxa"/>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建设控制区规模</w:t>
            </w:r>
          </w:p>
        </w:tc>
        <w:tc>
          <w:tcPr>
            <w:tcW w:w="2052"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0.0000</w:t>
            </w:r>
          </w:p>
        </w:tc>
        <w:tc>
          <w:tcPr>
            <w:tcW w:w="1417"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0.0000</w:t>
            </w:r>
          </w:p>
        </w:tc>
        <w:tc>
          <w:tcPr>
            <w:tcW w:w="1468" w:type="dxa"/>
            <w:shd w:val="clear" w:color="auto" w:fill="auto"/>
            <w:vAlign w:val="center"/>
          </w:tcPr>
          <w:p>
            <w:pPr>
              <w:widowControl/>
              <w:jc w:val="righ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0.0</w:t>
            </w:r>
            <w:r>
              <w:rPr>
                <w:rFonts w:hint="eastAsia" w:ascii="Times New Roman" w:hAnsi="Times New Roman" w:eastAsia="仿宋" w:cs="Times New Roman"/>
                <w:color w:val="000000"/>
                <w:kern w:val="0"/>
                <w:sz w:val="22"/>
              </w:rPr>
              <w:t>00</w:t>
            </w:r>
            <w:r>
              <w:rPr>
                <w:rFonts w:ascii="Times New Roman" w:hAnsi="Times New Roman" w:eastAsia="仿宋" w:cs="Times New Roman"/>
                <w:color w:val="000000"/>
                <w:kern w:val="0"/>
                <w:sz w:val="22"/>
              </w:rPr>
              <w:t>0</w:t>
            </w:r>
          </w:p>
        </w:tc>
      </w:tr>
      <w:bookmarkEnd w:id="45"/>
    </w:tbl>
    <w:p>
      <w:pPr>
        <w:widowControl/>
        <w:shd w:val="clear" w:color="auto" w:fill="FFFFFF"/>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注：变化量</w:t>
      </w:r>
      <w:r>
        <w:rPr>
          <w:rFonts w:ascii="Times New Roman" w:hAnsi="Times New Roman" w:eastAsia="仿宋" w:cs="Times New Roman"/>
          <w:sz w:val="24"/>
          <w:szCs w:val="24"/>
        </w:rPr>
        <w:t>=规划目标值-土地利用总体规划</w:t>
      </w:r>
      <w:r>
        <w:rPr>
          <w:rFonts w:hint="eastAsia" w:ascii="Times New Roman" w:hAnsi="Times New Roman" w:eastAsia="仿宋" w:cs="Times New Roman"/>
          <w:sz w:val="24"/>
          <w:szCs w:val="24"/>
        </w:rPr>
        <w:t>（</w:t>
      </w:r>
      <w:r>
        <w:rPr>
          <w:rFonts w:ascii="Times New Roman" w:hAnsi="Times New Roman" w:eastAsia="仿宋" w:cs="Times New Roman"/>
          <w:sz w:val="24"/>
          <w:szCs w:val="24"/>
        </w:rPr>
        <w:t>2006-2020年</w:t>
      </w:r>
      <w:r>
        <w:rPr>
          <w:rFonts w:hint="eastAsia" w:ascii="Times New Roman" w:hAnsi="Times New Roman" w:eastAsia="仿宋" w:cs="Times New Roman"/>
          <w:sz w:val="24"/>
          <w:szCs w:val="24"/>
        </w:rPr>
        <w:t>）</w:t>
      </w:r>
      <w:r>
        <w:rPr>
          <w:rFonts w:ascii="Times New Roman" w:hAnsi="Times New Roman" w:eastAsia="仿宋" w:cs="Times New Roman"/>
          <w:sz w:val="24"/>
          <w:szCs w:val="24"/>
        </w:rPr>
        <w:t>规划目标值</w:t>
      </w:r>
    </w:p>
    <w:p>
      <w:pPr>
        <w:widowControl/>
        <w:shd w:val="clear" w:color="auto" w:fill="FFFFFF"/>
        <w:ind w:firstLine="560" w:firstLineChars="200"/>
        <w:rPr>
          <w:rFonts w:ascii="Times New Roman" w:hAnsi="Times New Roman" w:eastAsia="仿宋" w:cs="Times New Roman"/>
          <w:sz w:val="28"/>
          <w:szCs w:val="28"/>
        </w:rPr>
      </w:pPr>
    </w:p>
    <w:p>
      <w:pPr>
        <w:widowControl/>
        <w:jc w:val="left"/>
        <w:rPr>
          <w:rFonts w:ascii="Times New Roman" w:hAnsi="Times New Roman" w:cs="Times New Roman"/>
        </w:rPr>
        <w:sectPr>
          <w:pgSz w:w="11906" w:h="16838"/>
          <w:pgMar w:top="1440" w:right="1800" w:bottom="1440" w:left="1800" w:header="851" w:footer="992" w:gutter="0"/>
          <w:cols w:space="425" w:num="1"/>
          <w:docGrid w:type="lines" w:linePitch="312" w:charSpace="0"/>
        </w:sectPr>
      </w:pPr>
    </w:p>
    <w:p>
      <w:pPr>
        <w:spacing w:line="360" w:lineRule="auto"/>
        <w:jc w:val="center"/>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附表2 主要规划指标分解落实表</w:t>
      </w:r>
    </w:p>
    <w:p>
      <w:pPr>
        <w:autoSpaceDE w:val="0"/>
        <w:autoSpaceDN w:val="0"/>
        <w:adjustRightInd w:val="0"/>
        <w:spacing w:line="360" w:lineRule="auto"/>
        <w:ind w:firstLine="480" w:firstLineChars="200"/>
        <w:jc w:val="right"/>
        <w:rPr>
          <w:rFonts w:ascii="Times New Roman" w:hAnsi="Times New Roman" w:eastAsia="仿宋" w:cs="Times New Roman"/>
          <w:sz w:val="24"/>
          <w:szCs w:val="24"/>
        </w:rPr>
      </w:pPr>
      <w:r>
        <w:rPr>
          <w:rFonts w:hint="eastAsia" w:ascii="Times New Roman" w:hAnsi="Times New Roman" w:eastAsia="仿宋" w:cs="Times New Roman"/>
          <w:sz w:val="24"/>
          <w:szCs w:val="24"/>
        </w:rPr>
        <w:t>单位：公顷、平方米/人</w:t>
      </w:r>
    </w:p>
    <w:tbl>
      <w:tblPr>
        <w:tblStyle w:val="14"/>
        <w:tblW w:w="5597" w:type="pct"/>
        <w:jc w:val="center"/>
        <w:tblLayout w:type="autofit"/>
        <w:tblCellMar>
          <w:top w:w="0" w:type="dxa"/>
          <w:left w:w="108" w:type="dxa"/>
          <w:bottom w:w="0" w:type="dxa"/>
          <w:right w:w="108" w:type="dxa"/>
        </w:tblCellMar>
      </w:tblPr>
      <w:tblGrid>
        <w:gridCol w:w="855"/>
        <w:gridCol w:w="794"/>
        <w:gridCol w:w="794"/>
        <w:gridCol w:w="794"/>
        <w:gridCol w:w="794"/>
        <w:gridCol w:w="1144"/>
        <w:gridCol w:w="1147"/>
        <w:gridCol w:w="1109"/>
        <w:gridCol w:w="1007"/>
        <w:gridCol w:w="1004"/>
        <w:gridCol w:w="1004"/>
        <w:gridCol w:w="794"/>
        <w:gridCol w:w="1029"/>
        <w:gridCol w:w="1002"/>
        <w:gridCol w:w="795"/>
        <w:gridCol w:w="795"/>
        <w:gridCol w:w="1005"/>
      </w:tblGrid>
      <w:tr>
        <w:tblPrEx>
          <w:tblCellMar>
            <w:top w:w="0" w:type="dxa"/>
            <w:left w:w="108" w:type="dxa"/>
            <w:bottom w:w="0" w:type="dxa"/>
            <w:right w:w="108" w:type="dxa"/>
          </w:tblCellMar>
        </w:tblPrEx>
        <w:trPr>
          <w:trHeight w:val="499" w:hRule="atLeast"/>
          <w:jc w:val="center"/>
        </w:trPr>
        <w:tc>
          <w:tcPr>
            <w:tcW w:w="27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行政区名称</w:t>
            </w:r>
          </w:p>
        </w:tc>
        <w:tc>
          <w:tcPr>
            <w:tcW w:w="500"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耕地保有量</w:t>
            </w:r>
          </w:p>
        </w:tc>
        <w:tc>
          <w:tcPr>
            <w:tcW w:w="500"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永久</w:t>
            </w:r>
            <w:r>
              <w:rPr>
                <w:rFonts w:ascii="Times New Roman" w:hAnsi="Times New Roman" w:eastAsia="仿宋" w:cs="Times New Roman"/>
                <w:b/>
                <w:bCs/>
                <w:color w:val="000000"/>
                <w:kern w:val="0"/>
                <w:szCs w:val="21"/>
              </w:rPr>
              <w:t>基本农田保护面积</w:t>
            </w:r>
          </w:p>
        </w:tc>
        <w:tc>
          <w:tcPr>
            <w:tcW w:w="1389" w:type="pct"/>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建设用地</w:t>
            </w:r>
          </w:p>
        </w:tc>
        <w:tc>
          <w:tcPr>
            <w:tcW w:w="1207" w:type="pct"/>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新增建设用地</w:t>
            </w:r>
          </w:p>
        </w:tc>
        <w:tc>
          <w:tcPr>
            <w:tcW w:w="31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人均城镇工矿用地</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规划流量指标</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建设控制区</w:t>
            </w:r>
          </w:p>
        </w:tc>
        <w:tc>
          <w:tcPr>
            <w:tcW w:w="31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土地整治补充耕地义务</w:t>
            </w:r>
          </w:p>
        </w:tc>
      </w:tr>
      <w:tr>
        <w:tblPrEx>
          <w:tblCellMar>
            <w:top w:w="0" w:type="dxa"/>
            <w:left w:w="108" w:type="dxa"/>
            <w:bottom w:w="0" w:type="dxa"/>
            <w:right w:w="108" w:type="dxa"/>
          </w:tblCellMar>
        </w:tblPrEx>
        <w:trPr>
          <w:trHeight w:val="1050" w:hRule="atLeast"/>
          <w:jc w:val="center"/>
        </w:trPr>
        <w:tc>
          <w:tcPr>
            <w:tcW w:w="270"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color w:val="000000"/>
                <w:kern w:val="0"/>
                <w:szCs w:val="21"/>
              </w:rPr>
            </w:pP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面积</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耕地</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面积</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耕地</w:t>
            </w:r>
          </w:p>
        </w:tc>
        <w:tc>
          <w:tcPr>
            <w:tcW w:w="361"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建设用地总量</w:t>
            </w:r>
          </w:p>
        </w:tc>
        <w:tc>
          <w:tcPr>
            <w:tcW w:w="36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城乡建设用地</w:t>
            </w:r>
          </w:p>
        </w:tc>
        <w:tc>
          <w:tcPr>
            <w:tcW w:w="34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城镇工矿用地</w:t>
            </w:r>
          </w:p>
        </w:tc>
        <w:tc>
          <w:tcPr>
            <w:tcW w:w="318"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交通水利及其他用地</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面积</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新增城乡建设用地</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新增交通水利及其他用地</w:t>
            </w:r>
          </w:p>
        </w:tc>
        <w:tc>
          <w:tcPr>
            <w:tcW w:w="324"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占用耕地</w:t>
            </w:r>
          </w:p>
        </w:tc>
        <w:tc>
          <w:tcPr>
            <w:tcW w:w="316"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color w:val="000000"/>
                <w:kern w:val="0"/>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color w:val="000000"/>
                <w:kern w:val="0"/>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color w:val="000000"/>
                <w:kern w:val="0"/>
                <w:szCs w:val="21"/>
              </w:rPr>
            </w:pPr>
          </w:p>
        </w:tc>
        <w:tc>
          <w:tcPr>
            <w:tcW w:w="316"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color w:val="000000"/>
                <w:kern w:val="0"/>
                <w:szCs w:val="21"/>
              </w:rPr>
            </w:pPr>
          </w:p>
        </w:tc>
      </w:tr>
      <w:tr>
        <w:tblPrEx>
          <w:tblCellMar>
            <w:top w:w="0" w:type="dxa"/>
            <w:left w:w="108" w:type="dxa"/>
            <w:bottom w:w="0" w:type="dxa"/>
            <w:right w:w="108" w:type="dxa"/>
          </w:tblCellMar>
        </w:tblPrEx>
        <w:trPr>
          <w:trHeight w:val="499" w:hRule="atLeast"/>
          <w:jc w:val="center"/>
        </w:trPr>
        <w:tc>
          <w:tcPr>
            <w:tcW w:w="2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江心洲街道</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6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1043.3000</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904.6000</w:t>
            </w:r>
          </w:p>
        </w:tc>
        <w:tc>
          <w:tcPr>
            <w:tcW w:w="349"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809.6000</w:t>
            </w:r>
          </w:p>
        </w:tc>
        <w:tc>
          <w:tcPr>
            <w:tcW w:w="31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138.7000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400.0000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398.7000 </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1.3000 </w:t>
            </w:r>
          </w:p>
        </w:tc>
        <w:tc>
          <w:tcPr>
            <w:tcW w:w="32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264.6000</w:t>
            </w:r>
          </w:p>
        </w:tc>
        <w:tc>
          <w:tcPr>
            <w:tcW w:w="316" w:type="pct"/>
            <w:vMerge w:val="restart"/>
            <w:tcBorders>
              <w:top w:val="single" w:color="auto" w:sz="4" w:space="0"/>
              <w:left w:val="nil"/>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55</w:t>
            </w:r>
            <w:r>
              <w:rPr>
                <w:rFonts w:ascii="Times New Roman" w:hAnsi="Times New Roman" w:eastAsia="仿宋" w:cs="Times New Roman"/>
                <w:color w:val="000000"/>
                <w:kern w:val="0"/>
                <w:szCs w:val="21"/>
              </w:rPr>
              <w:t>.0000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264.6000</w:t>
            </w:r>
          </w:p>
        </w:tc>
      </w:tr>
      <w:tr>
        <w:tblPrEx>
          <w:tblCellMar>
            <w:top w:w="0" w:type="dxa"/>
            <w:left w:w="108" w:type="dxa"/>
            <w:bottom w:w="0" w:type="dxa"/>
            <w:right w:w="108" w:type="dxa"/>
          </w:tblCellMar>
        </w:tblPrEx>
        <w:trPr>
          <w:trHeight w:val="499" w:hRule="atLeast"/>
          <w:jc w:val="center"/>
        </w:trPr>
        <w:tc>
          <w:tcPr>
            <w:tcW w:w="2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莫愁湖街道</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6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442.2780</w:t>
            </w:r>
          </w:p>
        </w:tc>
        <w:tc>
          <w:tcPr>
            <w:tcW w:w="36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407.9342</w:t>
            </w:r>
          </w:p>
        </w:tc>
        <w:tc>
          <w:tcPr>
            <w:tcW w:w="34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400.4111</w:t>
            </w:r>
          </w:p>
        </w:tc>
        <w:tc>
          <w:tcPr>
            <w:tcW w:w="318"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34.3438</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0.0000 </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2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vMerge w:val="continue"/>
            <w:tcBorders>
              <w:left w:val="nil"/>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r>
      <w:tr>
        <w:tblPrEx>
          <w:tblCellMar>
            <w:top w:w="0" w:type="dxa"/>
            <w:left w:w="108" w:type="dxa"/>
            <w:bottom w:w="0" w:type="dxa"/>
            <w:right w:w="108" w:type="dxa"/>
          </w:tblCellMar>
        </w:tblPrEx>
        <w:trPr>
          <w:trHeight w:val="499" w:hRule="atLeast"/>
          <w:jc w:val="center"/>
        </w:trPr>
        <w:tc>
          <w:tcPr>
            <w:tcW w:w="2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南苑街道</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6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584.0139</w:t>
            </w:r>
          </w:p>
        </w:tc>
        <w:tc>
          <w:tcPr>
            <w:tcW w:w="36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547.8868</w:t>
            </w:r>
          </w:p>
        </w:tc>
        <w:tc>
          <w:tcPr>
            <w:tcW w:w="34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536.2721</w:t>
            </w:r>
          </w:p>
        </w:tc>
        <w:tc>
          <w:tcPr>
            <w:tcW w:w="318"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36.1271</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0.0069</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0.0029 </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0.0040 </w:t>
            </w:r>
          </w:p>
        </w:tc>
        <w:tc>
          <w:tcPr>
            <w:tcW w:w="32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vMerge w:val="continue"/>
            <w:tcBorders>
              <w:left w:val="nil"/>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r>
      <w:tr>
        <w:tblPrEx>
          <w:tblCellMar>
            <w:top w:w="0" w:type="dxa"/>
            <w:left w:w="108" w:type="dxa"/>
            <w:bottom w:w="0" w:type="dxa"/>
            <w:right w:w="108" w:type="dxa"/>
          </w:tblCellMar>
        </w:tblPrEx>
        <w:trPr>
          <w:trHeight w:val="499" w:hRule="atLeast"/>
          <w:jc w:val="center"/>
        </w:trPr>
        <w:tc>
          <w:tcPr>
            <w:tcW w:w="2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沙洲街道</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6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1077.3334</w:t>
            </w:r>
          </w:p>
        </w:tc>
        <w:tc>
          <w:tcPr>
            <w:tcW w:w="36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935.0952</w:t>
            </w:r>
          </w:p>
        </w:tc>
        <w:tc>
          <w:tcPr>
            <w:tcW w:w="34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847.8990</w:t>
            </w:r>
          </w:p>
        </w:tc>
        <w:tc>
          <w:tcPr>
            <w:tcW w:w="318"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142.2382</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22.5613</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22.5243 </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0.0370 </w:t>
            </w:r>
          </w:p>
        </w:tc>
        <w:tc>
          <w:tcPr>
            <w:tcW w:w="32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vMerge w:val="continue"/>
            <w:tcBorders>
              <w:left w:val="nil"/>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r>
      <w:tr>
        <w:tblPrEx>
          <w:tblCellMar>
            <w:top w:w="0" w:type="dxa"/>
            <w:left w:w="108" w:type="dxa"/>
            <w:bottom w:w="0" w:type="dxa"/>
            <w:right w:w="108" w:type="dxa"/>
          </w:tblCellMar>
        </w:tblPrEx>
        <w:trPr>
          <w:trHeight w:val="499" w:hRule="atLeast"/>
          <w:jc w:val="center"/>
        </w:trPr>
        <w:tc>
          <w:tcPr>
            <w:tcW w:w="2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双闸街道</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6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1371.0821</w:t>
            </w:r>
          </w:p>
        </w:tc>
        <w:tc>
          <w:tcPr>
            <w:tcW w:w="36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1141.5146</w:t>
            </w:r>
          </w:p>
        </w:tc>
        <w:tc>
          <w:tcPr>
            <w:tcW w:w="34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738.0979</w:t>
            </w:r>
          </w:p>
        </w:tc>
        <w:tc>
          <w:tcPr>
            <w:tcW w:w="318"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229.5675</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93.0199</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92.8749 </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0.1450 </w:t>
            </w:r>
          </w:p>
        </w:tc>
        <w:tc>
          <w:tcPr>
            <w:tcW w:w="32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vMerge w:val="continue"/>
            <w:tcBorders>
              <w:left w:val="nil"/>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r>
      <w:tr>
        <w:tblPrEx>
          <w:tblCellMar>
            <w:top w:w="0" w:type="dxa"/>
            <w:left w:w="108" w:type="dxa"/>
            <w:bottom w:w="0" w:type="dxa"/>
            <w:right w:w="108" w:type="dxa"/>
          </w:tblCellMar>
        </w:tblPrEx>
        <w:trPr>
          <w:trHeight w:val="499" w:hRule="atLeast"/>
          <w:jc w:val="center"/>
        </w:trPr>
        <w:tc>
          <w:tcPr>
            <w:tcW w:w="2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兴隆街道</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6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1030.3390</w:t>
            </w:r>
          </w:p>
        </w:tc>
        <w:tc>
          <w:tcPr>
            <w:tcW w:w="36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899.8156</w:t>
            </w:r>
          </w:p>
        </w:tc>
        <w:tc>
          <w:tcPr>
            <w:tcW w:w="34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827.3663</w:t>
            </w:r>
          </w:p>
        </w:tc>
        <w:tc>
          <w:tcPr>
            <w:tcW w:w="318"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130.5234</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3.4583</w:t>
            </w: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3.4443 </w:t>
            </w:r>
          </w:p>
        </w:tc>
        <w:tc>
          <w:tcPr>
            <w:tcW w:w="250"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 xml:space="preserve">0.0140 </w:t>
            </w:r>
          </w:p>
        </w:tc>
        <w:tc>
          <w:tcPr>
            <w:tcW w:w="32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vMerge w:val="continue"/>
            <w:tcBorders>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0.0000</w:t>
            </w:r>
          </w:p>
        </w:tc>
      </w:tr>
      <w:tr>
        <w:tblPrEx>
          <w:tblCellMar>
            <w:top w:w="0" w:type="dxa"/>
            <w:left w:w="108" w:type="dxa"/>
            <w:bottom w:w="0" w:type="dxa"/>
            <w:right w:w="108" w:type="dxa"/>
          </w:tblCellMar>
        </w:tblPrEx>
        <w:trPr>
          <w:trHeight w:val="499" w:hRule="atLeast"/>
          <w:jc w:val="center"/>
        </w:trPr>
        <w:tc>
          <w:tcPr>
            <w:tcW w:w="2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合计</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0.0000</w:t>
            </w:r>
          </w:p>
        </w:tc>
        <w:tc>
          <w:tcPr>
            <w:tcW w:w="36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5548.3464</w:t>
            </w:r>
          </w:p>
        </w:tc>
        <w:tc>
          <w:tcPr>
            <w:tcW w:w="362"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4836.8464</w:t>
            </w:r>
          </w:p>
        </w:tc>
        <w:tc>
          <w:tcPr>
            <w:tcW w:w="349"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4159.6464</w:t>
            </w:r>
          </w:p>
        </w:tc>
        <w:tc>
          <w:tcPr>
            <w:tcW w:w="31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711.5000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519.0464</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517.5464</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1.5000</w:t>
            </w:r>
          </w:p>
        </w:tc>
        <w:tc>
          <w:tcPr>
            <w:tcW w:w="32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264.6000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55.0000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0.0000</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0.0000</w:t>
            </w: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264.6000</w:t>
            </w:r>
          </w:p>
        </w:tc>
      </w:tr>
    </w:tbl>
    <w:p>
      <w:pPr>
        <w:widowControl/>
        <w:jc w:val="left"/>
        <w:rPr>
          <w:rFonts w:ascii="Times New Roman" w:hAnsi="Times New Roman" w:cs="Times New Roman"/>
        </w:rPr>
      </w:pPr>
    </w:p>
    <w:p>
      <w:pPr>
        <w:widowControl/>
        <w:jc w:val="left"/>
        <w:rPr>
          <w:rFonts w:ascii="Times New Roman" w:hAnsi="Times New Roman" w:cs="Times New Roman"/>
        </w:rPr>
        <w:sectPr>
          <w:pgSz w:w="16838" w:h="11906" w:orient="landscape"/>
          <w:pgMar w:top="1800" w:right="1440" w:bottom="1800" w:left="1440" w:header="851" w:footer="992" w:gutter="0"/>
          <w:cols w:space="425" w:num="1"/>
          <w:docGrid w:type="lines" w:linePitch="312" w:charSpace="0"/>
        </w:sectPr>
      </w:pPr>
    </w:p>
    <w:p>
      <w:pPr>
        <w:spacing w:line="360" w:lineRule="auto"/>
        <w:jc w:val="center"/>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附表3 重点建设项目用地规划表</w:t>
      </w:r>
    </w:p>
    <w:p>
      <w:pPr>
        <w:wordWrap w:val="0"/>
        <w:autoSpaceDE w:val="0"/>
        <w:autoSpaceDN w:val="0"/>
        <w:adjustRightInd w:val="0"/>
        <w:spacing w:line="360" w:lineRule="auto"/>
        <w:ind w:firstLine="480" w:firstLineChars="200"/>
        <w:jc w:val="right"/>
        <w:rPr>
          <w:rFonts w:ascii="Times New Roman" w:hAnsi="Times New Roman" w:eastAsia="仿宋" w:cs="Times New Roman"/>
          <w:sz w:val="24"/>
          <w:szCs w:val="24"/>
        </w:rPr>
      </w:pPr>
      <w:r>
        <w:rPr>
          <w:rFonts w:ascii="Times New Roman" w:hAnsi="Times New Roman" w:eastAsia="仿宋" w:cs="Times New Roman"/>
          <w:sz w:val="24"/>
          <w:szCs w:val="24"/>
        </w:rPr>
        <w:t>单位：公顷</w:t>
      </w:r>
      <w:r>
        <w:rPr>
          <w:rFonts w:hint="eastAsia" w:ascii="Times New Roman" w:hAnsi="Times New Roman" w:eastAsia="仿宋" w:cs="Times New Roman"/>
          <w:sz w:val="24"/>
          <w:szCs w:val="24"/>
        </w:rPr>
        <w:t xml:space="preserve"> </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7"/>
        <w:gridCol w:w="1102"/>
        <w:gridCol w:w="1045"/>
        <w:gridCol w:w="2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blHeader/>
          <w:jc w:val="center"/>
        </w:trPr>
        <w:tc>
          <w:tcPr>
            <w:tcW w:w="4057" w:type="dxa"/>
            <w:shd w:val="clear" w:color="auto" w:fill="auto"/>
            <w:vAlign w:val="center"/>
          </w:tcPr>
          <w:p>
            <w:pPr>
              <w:widowControl/>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项目名称</w:t>
            </w:r>
          </w:p>
        </w:tc>
        <w:tc>
          <w:tcPr>
            <w:tcW w:w="1102" w:type="dxa"/>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建设性质</w:t>
            </w:r>
          </w:p>
        </w:tc>
        <w:tc>
          <w:tcPr>
            <w:tcW w:w="1045" w:type="dxa"/>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新增用地规模</w:t>
            </w:r>
          </w:p>
        </w:tc>
        <w:tc>
          <w:tcPr>
            <w:tcW w:w="2318" w:type="dxa"/>
            <w:shd w:val="clear" w:color="auto" w:fill="auto"/>
            <w:vAlign w:val="center"/>
          </w:tcPr>
          <w:p>
            <w:pPr>
              <w:widowControl/>
              <w:jc w:val="center"/>
              <w:rPr>
                <w:rFonts w:ascii="Times New Roman" w:hAnsi="Times New Roman" w:eastAsia="仿宋" w:cs="Times New Roman"/>
                <w:b/>
                <w:bCs/>
                <w:color w:val="000000"/>
                <w:kern w:val="0"/>
                <w:szCs w:val="21"/>
              </w:rPr>
            </w:pPr>
            <w:r>
              <w:rPr>
                <w:rFonts w:ascii="Times New Roman" w:hAnsi="Times New Roman" w:eastAsia="仿宋" w:cs="Times New Roman"/>
                <w:b/>
                <w:bCs/>
                <w:color w:val="000000"/>
                <w:kern w:val="0"/>
                <w:szCs w:val="21"/>
              </w:rPr>
              <w:t>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8522" w:type="dxa"/>
            <w:gridSpan w:val="4"/>
            <w:shd w:val="clear" w:color="auto" w:fill="auto"/>
            <w:vAlign w:val="center"/>
          </w:tcPr>
          <w:p>
            <w:pPr>
              <w:widowControl/>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一</w:t>
            </w:r>
            <w:r>
              <w:rPr>
                <w:rFonts w:ascii="Times New Roman" w:hAnsi="Times New Roman" w:eastAsia="仿宋" w:cs="Times New Roman"/>
                <w:b/>
                <w:bCs/>
                <w:color w:val="000000"/>
                <w:kern w:val="0"/>
                <w:szCs w:val="21"/>
              </w:rPr>
              <w:t>、交通类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江心洲有轨电车车辆基地</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南京地铁2号线西延</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改建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秦淮新河人行桥项目</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沙洲街道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纬七路过江通道旁停车场1</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纬七路过江通道旁停车场2</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纬七路交通节点改造</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兴隆街道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纬七路进出岛交通节点改造工程</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纬七路快速化改造一期</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南苑街道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有轨电车车辆段工程</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洲堤维修加固工程</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洲头公交首末站</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洲尾公交场站</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北环路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滨江风光带步行桥二期</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滨江风光带步行桥三期</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滨江风光带步行桥一期</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苍山路（应天大街-集庆门大街）</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兴隆街道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创意二路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创意路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创意三路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创意一路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地铁4号线二期工程</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地铁7号线</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莫愁湖街道、南苑街道、沙州街道、双闸街道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地铁9号线</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兴隆街道、莫愁湖街道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地铁十三号线</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发展路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富春江东街（西城路-凤台南路）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双闸街道、沙洲街道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果园路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汉中西路过江通道</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和平路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花园路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环岛路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环岛路改扩建</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环岛西路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夹江索道</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江岛路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江东中路南延</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江心路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江洲路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韭园路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科技六路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科技路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科技三路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科技四路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科技五路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科技一路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科六路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民安路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改建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南环路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南京长江五隧道及过江通道</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葡园路</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葡园路改扩建</w:t>
            </w:r>
          </w:p>
        </w:tc>
        <w:tc>
          <w:tcPr>
            <w:tcW w:w="1102"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改建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沁园路</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思泽路</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纬六路西段</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兴隆街道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文化二路</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文化路</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文化三路</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新安江街（泰山路-凤台南路）</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兴隆街道、双闸街道、沙洲街道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新城快速通道</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沙洲街道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新村路</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新村南路</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新村西路</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新村中路</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星影街</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有轨电车工程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中环路</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洲岛路</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洲尾路</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rPr>
            </w:pPr>
            <w:r>
              <w:rPr>
                <w:rFonts w:ascii="Times New Roman" w:hAnsi="Times New Roman" w:eastAsia="仿宋" w:cs="Times New Roman"/>
              </w:rPr>
              <w:t>鱼嘴公园枢纽</w:t>
            </w:r>
          </w:p>
        </w:tc>
        <w:tc>
          <w:tcPr>
            <w:tcW w:w="1102" w:type="dxa"/>
            <w:shd w:val="clear" w:color="auto" w:fill="auto"/>
            <w:noWrap/>
            <w:vAlign w:val="center"/>
          </w:tcPr>
          <w:p>
            <w:pPr>
              <w:widowControl/>
              <w:jc w:val="center"/>
              <w:rPr>
                <w:rFonts w:ascii="Times New Roman" w:hAnsi="Times New Roman" w:eastAsia="仿宋" w:cs="Times New Roman"/>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rPr>
            </w:pPr>
            <w:r>
              <w:rPr>
                <w:rFonts w:ascii="Times New Roman" w:hAnsi="Times New Roman" w:eastAsia="仿宋" w:cs="Times New Roman"/>
              </w:rPr>
              <w:t>中和街公交枢纽</w:t>
            </w:r>
          </w:p>
        </w:tc>
        <w:tc>
          <w:tcPr>
            <w:tcW w:w="1102" w:type="dxa"/>
            <w:shd w:val="clear" w:color="auto" w:fill="auto"/>
            <w:noWrap/>
            <w:vAlign w:val="center"/>
          </w:tcPr>
          <w:p>
            <w:pPr>
              <w:widowControl/>
              <w:jc w:val="center"/>
              <w:rPr>
                <w:rFonts w:ascii="Times New Roman" w:hAnsi="Times New Roman" w:eastAsia="仿宋" w:cs="Times New Roman"/>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rPr>
            </w:pPr>
            <w:r>
              <w:rPr>
                <w:rFonts w:ascii="Times New Roman" w:hAnsi="Times New Roman" w:eastAsia="仿宋" w:cs="Times New Roman"/>
              </w:rPr>
              <w:t>沙洲街道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8522" w:type="dxa"/>
            <w:gridSpan w:val="4"/>
            <w:shd w:val="clear" w:color="auto" w:fill="auto"/>
            <w:vAlign w:val="center"/>
          </w:tcPr>
          <w:p>
            <w:pPr>
              <w:widowControl/>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二</w:t>
            </w:r>
            <w:r>
              <w:rPr>
                <w:rFonts w:ascii="Times New Roman" w:hAnsi="Times New Roman" w:eastAsia="仿宋" w:cs="Times New Roman"/>
                <w:b/>
                <w:bCs/>
                <w:color w:val="000000"/>
                <w:kern w:val="0"/>
                <w:szCs w:val="21"/>
              </w:rPr>
              <w:t>、水利类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江心洲-城南污水系统连通二期</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江心洲污水收集处理系统连通二期（凤台路泵站-夹江段）</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秦淮河航道整治工程（含溧水船闸）</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省长江干堤防洪能力提升近期工程（南京段）</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改建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江心洲街道、兴隆街道、双闸街道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外秦淮河堤防加固改造</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改建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南苑街道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长江南京段崩岸治理</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改建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新加坡·南京生态科技岛大江侧滨江堤防加固</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8522" w:type="dxa"/>
            <w:gridSpan w:val="4"/>
            <w:shd w:val="clear" w:color="auto" w:fill="auto"/>
            <w:vAlign w:val="center"/>
          </w:tcPr>
          <w:p>
            <w:pPr>
              <w:widowControl/>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三</w:t>
            </w:r>
            <w:r>
              <w:rPr>
                <w:rFonts w:ascii="Times New Roman" w:hAnsi="Times New Roman" w:eastAsia="仿宋" w:cs="Times New Roman"/>
                <w:b/>
                <w:bCs/>
                <w:color w:val="000000"/>
                <w:kern w:val="0"/>
                <w:szCs w:val="21"/>
              </w:rPr>
              <w:t>、电力类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白龙江110千伏输变电工程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茶亭110千伏输变电工程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莫愁湖街道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城西（黄山路）110千伏输变电工程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沙洲街道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东寇（金胜）110千伏输变电工程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花卉110千伏输变电工程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兴隆街道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淮河110千伏输变电工程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金胜220kV输变电工程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龙王村220kV输变电工程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沙洲街道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绿洲110千伏输变电工程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天河110千伏输变电工程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纬北110千伏输变电工程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兴隆街道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五星110千伏输变电工程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新城中心220kV输变电工程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沙洲街道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新梗110千伏输变电工程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沙洲街道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兴隆（绿博）220kV输变电工程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兴隆街道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永胜220kV输变电工程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鱼嘴220千伏输变电工程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雨润110千伏输变电工程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沙洲街道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雨润东侧110千伏输变电工程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沙洲街道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中和110kV输变电工程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中心（会展二期）110千伏输变电工程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rPr>
            </w:pPr>
            <w:r>
              <w:rPr>
                <w:rFonts w:ascii="Times New Roman" w:hAnsi="Times New Roman" w:eastAsia="仿宋" w:cs="Times New Roman"/>
              </w:rPr>
              <w:t>洲尾220kv变电站</w:t>
            </w:r>
          </w:p>
        </w:tc>
        <w:tc>
          <w:tcPr>
            <w:tcW w:w="1102" w:type="dxa"/>
            <w:shd w:val="clear" w:color="auto" w:fill="auto"/>
            <w:noWrap/>
            <w:vAlign w:val="center"/>
          </w:tcPr>
          <w:p>
            <w:pPr>
              <w:widowControl/>
              <w:jc w:val="center"/>
              <w:rPr>
                <w:rFonts w:ascii="Times New Roman" w:hAnsi="Times New Roman" w:eastAsia="仿宋" w:cs="Times New Roman"/>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rPr>
            </w:pPr>
            <w:r>
              <w:rPr>
                <w:rFonts w:ascii="Times New Roman" w:hAnsi="Times New Roman" w:eastAsia="仿宋" w:cs="Times New Roman"/>
                <w:color w:val="000000"/>
                <w:kern w:val="0"/>
                <w:szCs w:val="21"/>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8522" w:type="dxa"/>
            <w:gridSpan w:val="4"/>
            <w:shd w:val="clear" w:color="auto" w:fill="auto"/>
            <w:vAlign w:val="center"/>
          </w:tcPr>
          <w:p>
            <w:pPr>
              <w:widowControl/>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四</w:t>
            </w:r>
            <w:r>
              <w:rPr>
                <w:rFonts w:ascii="Times New Roman" w:hAnsi="Times New Roman" w:eastAsia="仿宋" w:cs="Times New Roman"/>
                <w:b/>
                <w:bCs/>
                <w:color w:val="000000"/>
                <w:kern w:val="0"/>
                <w:szCs w:val="21"/>
              </w:rPr>
              <w:t>、环保类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大江侧环境整治</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夹江侧环境整治</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江心洲低浓度进水污水收集系统改造</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改建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江心洲污水处理厂扩容及提标改造工程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改建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湿地环境整治</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洲头环境整治</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洲尾环境整治</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南河水生态环境综合治理</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改建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沙洲街道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8522" w:type="dxa"/>
            <w:gridSpan w:val="4"/>
            <w:shd w:val="clear" w:color="auto" w:fill="auto"/>
            <w:vAlign w:val="center"/>
          </w:tcPr>
          <w:p>
            <w:pPr>
              <w:widowControl/>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五</w:t>
            </w:r>
            <w:r>
              <w:rPr>
                <w:rFonts w:ascii="Times New Roman" w:hAnsi="Times New Roman" w:eastAsia="仿宋" w:cs="Times New Roman"/>
                <w:b/>
                <w:bCs/>
                <w:color w:val="000000"/>
                <w:kern w:val="0"/>
                <w:szCs w:val="21"/>
              </w:rPr>
              <w:t>、</w:t>
            </w:r>
            <w:r>
              <w:rPr>
                <w:rFonts w:hint="eastAsia" w:ascii="Times New Roman" w:hAnsi="Times New Roman" w:eastAsia="仿宋" w:cs="Times New Roman"/>
                <w:b/>
                <w:bCs/>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河西南部地区地下综合管廊建设</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淮河路首末站</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双闸街道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急救站（点）</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沙洲街道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南京市主城六区应急供水近期工程</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兴隆街道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四大队江心洲交警中队业务用房迁建</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江心洲街道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rPr>
                <w:rFonts w:ascii="Times New Roman" w:hAnsi="Times New Roman" w:eastAsia="仿宋" w:cs="Times New Roman"/>
                <w:color w:val="000000"/>
                <w:kern w:val="0"/>
                <w:szCs w:val="21"/>
              </w:rPr>
            </w:pPr>
            <w:r>
              <w:rPr>
                <w:rFonts w:ascii="Times New Roman" w:hAnsi="Times New Roman" w:eastAsia="仿宋" w:cs="Times New Roman"/>
              </w:rPr>
              <w:t>黑臭河道整治淤泥弃置</w:t>
            </w:r>
          </w:p>
        </w:tc>
        <w:tc>
          <w:tcPr>
            <w:tcW w:w="1102" w:type="dxa"/>
            <w:shd w:val="clear" w:color="auto" w:fill="auto"/>
            <w:noWrap/>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新建</w:t>
            </w:r>
          </w:p>
        </w:tc>
        <w:tc>
          <w:tcPr>
            <w:tcW w:w="1045" w:type="dxa"/>
            <w:vAlign w:val="center"/>
          </w:tcPr>
          <w:p>
            <w:pPr>
              <w:widowControl/>
              <w:jc w:val="center"/>
              <w:rPr>
                <w:rFonts w:ascii="Times New Roman" w:hAnsi="Times New Roman" w:eastAsia="仿宋" w:cs="Times New Roman"/>
                <w:color w:val="000000"/>
                <w:kern w:val="0"/>
                <w:szCs w:val="21"/>
              </w:rPr>
            </w:pPr>
          </w:p>
        </w:tc>
        <w:tc>
          <w:tcPr>
            <w:tcW w:w="2318" w:type="dxa"/>
            <w:shd w:val="clear" w:color="auto" w:fill="auto"/>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rPr>
              <w:t>兴隆街道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57" w:type="dxa"/>
            <w:shd w:val="clear" w:color="auto" w:fill="auto"/>
            <w:vAlign w:val="center"/>
          </w:tcPr>
          <w:p>
            <w:pPr>
              <w:widowControl/>
              <w:jc w:val="center"/>
              <w:rPr>
                <w:rFonts w:ascii="Times New Roman" w:hAnsi="Times New Roman" w:eastAsia="仿宋" w:cs="Times New Roman"/>
              </w:rPr>
            </w:pPr>
            <w:r>
              <w:rPr>
                <w:rFonts w:ascii="Times New Roman" w:hAnsi="Times New Roman" w:eastAsia="仿宋" w:cs="Times New Roman"/>
                <w:b/>
                <w:bCs/>
                <w:color w:val="000000"/>
                <w:kern w:val="0"/>
                <w:szCs w:val="21"/>
              </w:rPr>
              <w:t>合计</w:t>
            </w:r>
          </w:p>
        </w:tc>
        <w:tc>
          <w:tcPr>
            <w:tcW w:w="1102" w:type="dxa"/>
            <w:shd w:val="clear" w:color="auto" w:fill="auto"/>
            <w:noWrap/>
            <w:vAlign w:val="center"/>
          </w:tcPr>
          <w:p>
            <w:pPr>
              <w:widowControl/>
              <w:jc w:val="center"/>
              <w:rPr>
                <w:rFonts w:ascii="Times New Roman" w:hAnsi="Times New Roman" w:eastAsia="仿宋" w:cs="Times New Roman"/>
              </w:rPr>
            </w:pPr>
          </w:p>
        </w:tc>
        <w:tc>
          <w:tcPr>
            <w:tcW w:w="1045" w:type="dxa"/>
            <w:vAlign w:val="center"/>
          </w:tcPr>
          <w:p>
            <w:pPr>
              <w:widowControl/>
              <w:jc w:val="center"/>
              <w:rPr>
                <w:rFonts w:ascii="Times New Roman" w:hAnsi="Times New Roman" w:eastAsia="仿宋" w:cs="Times New Roman"/>
                <w:color w:val="000000"/>
                <w:kern w:val="0"/>
                <w:szCs w:val="21"/>
              </w:rPr>
            </w:pPr>
            <w:r>
              <w:rPr>
                <w:rFonts w:ascii="Times New Roman" w:hAnsi="Times New Roman" w:eastAsia="仿宋" w:cs="Times New Roman"/>
                <w:b/>
                <w:bCs/>
                <w:color w:val="000000"/>
                <w:kern w:val="0"/>
                <w:szCs w:val="21"/>
              </w:rPr>
              <w:t>1.5000</w:t>
            </w:r>
          </w:p>
        </w:tc>
        <w:tc>
          <w:tcPr>
            <w:tcW w:w="2318" w:type="dxa"/>
            <w:shd w:val="clear" w:color="auto" w:fill="auto"/>
            <w:vAlign w:val="center"/>
          </w:tcPr>
          <w:p>
            <w:pPr>
              <w:widowControl/>
              <w:jc w:val="center"/>
              <w:rPr>
                <w:rFonts w:ascii="Times New Roman" w:hAnsi="Times New Roman" w:eastAsia="仿宋" w:cs="Times New Roman"/>
              </w:rPr>
            </w:pPr>
          </w:p>
        </w:tc>
      </w:tr>
    </w:tbl>
    <w:p>
      <w:pPr>
        <w:widowControl/>
        <w:shd w:val="clear" w:color="auto" w:fill="FFFFFF"/>
        <w:ind w:firstLine="480" w:firstLineChars="200"/>
        <w:rPr>
          <w:rFonts w:ascii="Times New Roman" w:hAnsi="Times New Roman" w:eastAsia="仿宋" w:cs="Times New Roman"/>
          <w:sz w:val="24"/>
          <w:szCs w:val="24"/>
        </w:rPr>
      </w:pPr>
    </w:p>
    <w:p>
      <w:pPr>
        <w:widowControl/>
        <w:shd w:val="clear" w:color="auto" w:fill="FFFFFF"/>
        <w:ind w:firstLine="480" w:firstLineChars="200"/>
        <w:rPr>
          <w:rFonts w:ascii="Times New Roman" w:hAnsi="Times New Roman" w:eastAsia="仿宋" w:cs="Times New Roman"/>
          <w:sz w:val="24"/>
          <w:szCs w:val="24"/>
        </w:rPr>
      </w:pPr>
    </w:p>
    <w:p>
      <w:pPr>
        <w:widowControl/>
        <w:shd w:val="clear" w:color="auto" w:fill="FFFFFF"/>
        <w:ind w:firstLine="480" w:firstLineChars="200"/>
        <w:rPr>
          <w:rFonts w:ascii="Times New Roman" w:hAnsi="Times New Roman" w:eastAsia="仿宋" w:cs="Times New Roman"/>
          <w:sz w:val="24"/>
          <w:szCs w:val="24"/>
        </w:rPr>
        <w:sectPr>
          <w:pgSz w:w="11906" w:h="16838"/>
          <w:pgMar w:top="1440" w:right="1800" w:bottom="1440" w:left="1800" w:header="851" w:footer="992" w:gutter="0"/>
          <w:cols w:space="425" w:num="1"/>
          <w:docGrid w:type="lines" w:linePitch="312" w:charSpace="0"/>
        </w:sectPr>
      </w:pPr>
    </w:p>
    <w:p>
      <w:pPr>
        <w:spacing w:line="360" w:lineRule="auto"/>
        <w:outlineLvl w:val="0"/>
        <w:rPr>
          <w:rFonts w:ascii="Times New Roman" w:hAnsi="Times New Roman" w:eastAsia="黑体" w:cs="Times New Roman"/>
          <w:b/>
          <w:bCs/>
          <w:sz w:val="32"/>
          <w:szCs w:val="32"/>
        </w:rPr>
      </w:pPr>
      <w:bookmarkStart w:id="47" w:name="_Toc68214216"/>
      <w:r>
        <w:rPr>
          <w:rFonts w:ascii="Times New Roman" w:hAnsi="Times New Roman" w:eastAsia="黑体" w:cs="Times New Roman"/>
          <w:b/>
          <w:bCs/>
          <w:sz w:val="32"/>
          <w:szCs w:val="32"/>
        </w:rPr>
        <w:t>附</w:t>
      </w:r>
      <w:r>
        <w:rPr>
          <w:rFonts w:hint="eastAsia" w:ascii="Times New Roman" w:hAnsi="Times New Roman" w:eastAsia="黑体" w:cs="Times New Roman"/>
          <w:b/>
          <w:bCs/>
          <w:sz w:val="32"/>
          <w:szCs w:val="32"/>
        </w:rPr>
        <w:t>图</w:t>
      </w:r>
      <w:bookmarkEnd w:id="47"/>
    </w:p>
    <w:p>
      <w:pPr>
        <w:autoSpaceDE w:val="0"/>
        <w:autoSpaceDN w:val="0"/>
        <w:adjustRightInd w:val="0"/>
        <w:spacing w:line="36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w:t>
      </w:r>
      <w:r>
        <w:rPr>
          <w:rFonts w:hint="eastAsia" w:ascii="Times New Roman" w:hAnsi="Times New Roman" w:eastAsia="仿宋" w:cs="Times New Roman"/>
          <w:sz w:val="28"/>
          <w:szCs w:val="28"/>
        </w:rPr>
        <w:t>、南京市建邺区江心洲街道等街道国土空间规划近期实施方案土地利用总体规划</w:t>
      </w:r>
    </w:p>
    <w:p>
      <w:pPr>
        <w:autoSpaceDE w:val="0"/>
        <w:autoSpaceDN w:val="0"/>
        <w:adjustRightInd w:val="0"/>
        <w:spacing w:line="360" w:lineRule="auto"/>
        <w:ind w:firstLine="562" w:firstLineChars="200"/>
        <w:rPr>
          <w:rFonts w:ascii="Times New Roman" w:hAnsi="Times New Roman" w:eastAsia="黑体" w:cs="Times New Roman"/>
          <w:b/>
          <w:kern w:val="0"/>
          <w:sz w:val="28"/>
          <w:szCs w:val="32"/>
        </w:rPr>
      </w:pPr>
    </w:p>
    <w:sectPr>
      <w:pgSz w:w="11906" w:h="16838"/>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等线 Light">
    <w:altName w:val="宋体"/>
    <w:panose1 w:val="00000000000000000000"/>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40838943"/>
      <w:docPartObj>
        <w:docPartGallery w:val="AutoText"/>
      </w:docPartObj>
    </w:sdtPr>
    <w:sdtContent>
      <w:p>
        <w:pPr>
          <w:pStyle w:val="7"/>
          <w:jc w:val="center"/>
        </w:pPr>
        <w:r>
          <w:fldChar w:fldCharType="begin"/>
        </w:r>
        <w:r>
          <w:instrText xml:space="preserve">PAGE   \* MERGEFORMAT</w:instrText>
        </w:r>
        <w:r>
          <w:fldChar w:fldCharType="separate"/>
        </w:r>
        <w:r>
          <w:rPr>
            <w:lang w:val="zh-CN"/>
          </w:rPr>
          <w:t>ii</w:t>
        </w:r>
        <w:r>
          <w:fldChar w:fldCharType="end"/>
        </w:r>
      </w:p>
    </w:sdtContent>
  </w:sdt>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9416878"/>
      <w:docPartObj>
        <w:docPartGallery w:val="AutoText"/>
      </w:docPartObj>
    </w:sdtPr>
    <w:sdtContent>
      <w:p>
        <w:pPr>
          <w:pStyle w:val="7"/>
          <w:jc w:val="center"/>
        </w:pPr>
        <w:r>
          <w:fldChar w:fldCharType="begin"/>
        </w:r>
        <w:r>
          <w:instrText xml:space="preserve">PAGE   \* MERGEFORMAT</w:instrText>
        </w:r>
        <w:r>
          <w:fldChar w:fldCharType="separate"/>
        </w:r>
        <w:r>
          <w:rPr>
            <w:lang w:val="zh-CN"/>
          </w:rPr>
          <w:t>6</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8577072"/>
      <w:docPartObj>
        <w:docPartGallery w:val="AutoText"/>
      </w:docPartObj>
    </w:sdtPr>
    <w:sdtContent>
      <w:p>
        <w:pPr>
          <w:pStyle w:val="7"/>
          <w:jc w:val="center"/>
        </w:pPr>
        <w:r>
          <w:fldChar w:fldCharType="begin"/>
        </w:r>
        <w:r>
          <w:instrText xml:space="preserve">PAGE   \* MERGEFORMAT</w:instrText>
        </w:r>
        <w:r>
          <w:fldChar w:fldCharType="separate"/>
        </w:r>
        <w:r>
          <w:rPr>
            <w:lang w:val="zh-CN"/>
          </w:rPr>
          <w:t>18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10"/>
      </w:pPr>
      <w:r>
        <w:rPr>
          <w:rStyle w:val="18"/>
        </w:rPr>
        <w:footnoteRef/>
      </w:r>
      <w:r>
        <w:rPr>
          <w:rFonts w:hint="eastAsia"/>
        </w:rPr>
        <w:t>数据来源于2018年土地利用现状变更调查数据，并转换为规划分类。</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kYzAzMDU1NjZkMWNjNDFhY2YxMjBlYmUxZWYxNWUifQ=="/>
  </w:docVars>
  <w:rsids>
    <w:rsidRoot w:val="00DF19E7"/>
    <w:rsid w:val="0000147E"/>
    <w:rsid w:val="00004684"/>
    <w:rsid w:val="0000570B"/>
    <w:rsid w:val="0000600B"/>
    <w:rsid w:val="0001127C"/>
    <w:rsid w:val="0001232A"/>
    <w:rsid w:val="00012D49"/>
    <w:rsid w:val="00017254"/>
    <w:rsid w:val="00020640"/>
    <w:rsid w:val="00020CFE"/>
    <w:rsid w:val="00020F4E"/>
    <w:rsid w:val="0002350B"/>
    <w:rsid w:val="00024561"/>
    <w:rsid w:val="000245D3"/>
    <w:rsid w:val="00024B5A"/>
    <w:rsid w:val="0002550E"/>
    <w:rsid w:val="00025BF1"/>
    <w:rsid w:val="0002637F"/>
    <w:rsid w:val="00026FFD"/>
    <w:rsid w:val="00027367"/>
    <w:rsid w:val="000321BF"/>
    <w:rsid w:val="00033C8F"/>
    <w:rsid w:val="00034521"/>
    <w:rsid w:val="00035FF7"/>
    <w:rsid w:val="00040DB1"/>
    <w:rsid w:val="00041311"/>
    <w:rsid w:val="00041ACE"/>
    <w:rsid w:val="00042797"/>
    <w:rsid w:val="00042EAF"/>
    <w:rsid w:val="00054D93"/>
    <w:rsid w:val="00055D70"/>
    <w:rsid w:val="00060C98"/>
    <w:rsid w:val="00061B57"/>
    <w:rsid w:val="000636C3"/>
    <w:rsid w:val="000676A4"/>
    <w:rsid w:val="00071CC6"/>
    <w:rsid w:val="00072FC7"/>
    <w:rsid w:val="00075544"/>
    <w:rsid w:val="00086C36"/>
    <w:rsid w:val="000911D1"/>
    <w:rsid w:val="00095BDD"/>
    <w:rsid w:val="000A12DF"/>
    <w:rsid w:val="000A2ED7"/>
    <w:rsid w:val="000A36C5"/>
    <w:rsid w:val="000A39CA"/>
    <w:rsid w:val="000A6626"/>
    <w:rsid w:val="000A7B99"/>
    <w:rsid w:val="000B18B2"/>
    <w:rsid w:val="000B2278"/>
    <w:rsid w:val="000B38FA"/>
    <w:rsid w:val="000B4CD1"/>
    <w:rsid w:val="000B6CA1"/>
    <w:rsid w:val="000C0FAE"/>
    <w:rsid w:val="000C1B85"/>
    <w:rsid w:val="000C29BA"/>
    <w:rsid w:val="000C30BB"/>
    <w:rsid w:val="000C32DE"/>
    <w:rsid w:val="000C3511"/>
    <w:rsid w:val="000C3A2B"/>
    <w:rsid w:val="000C64EB"/>
    <w:rsid w:val="000D246C"/>
    <w:rsid w:val="000D2E24"/>
    <w:rsid w:val="000D3BF0"/>
    <w:rsid w:val="000D53E3"/>
    <w:rsid w:val="000E043F"/>
    <w:rsid w:val="000E09A4"/>
    <w:rsid w:val="000E4373"/>
    <w:rsid w:val="000E65C4"/>
    <w:rsid w:val="000E77BE"/>
    <w:rsid w:val="000F0924"/>
    <w:rsid w:val="000F1C80"/>
    <w:rsid w:val="000F3E99"/>
    <w:rsid w:val="000F7A18"/>
    <w:rsid w:val="001061BB"/>
    <w:rsid w:val="001068F7"/>
    <w:rsid w:val="00106CA3"/>
    <w:rsid w:val="0010748F"/>
    <w:rsid w:val="001078EE"/>
    <w:rsid w:val="00110C78"/>
    <w:rsid w:val="00115996"/>
    <w:rsid w:val="00121A0F"/>
    <w:rsid w:val="00121CC5"/>
    <w:rsid w:val="00121F6C"/>
    <w:rsid w:val="001220A0"/>
    <w:rsid w:val="001224B7"/>
    <w:rsid w:val="00122854"/>
    <w:rsid w:val="00122C30"/>
    <w:rsid w:val="0012777F"/>
    <w:rsid w:val="00127C89"/>
    <w:rsid w:val="00134687"/>
    <w:rsid w:val="00135194"/>
    <w:rsid w:val="00137575"/>
    <w:rsid w:val="00137A6D"/>
    <w:rsid w:val="00137D2F"/>
    <w:rsid w:val="00140A38"/>
    <w:rsid w:val="001459F6"/>
    <w:rsid w:val="00155DCC"/>
    <w:rsid w:val="00156D4D"/>
    <w:rsid w:val="0016272C"/>
    <w:rsid w:val="001630EF"/>
    <w:rsid w:val="001644E9"/>
    <w:rsid w:val="00165A17"/>
    <w:rsid w:val="00166C6C"/>
    <w:rsid w:val="00171755"/>
    <w:rsid w:val="00173CCC"/>
    <w:rsid w:val="001764E2"/>
    <w:rsid w:val="00183471"/>
    <w:rsid w:val="00184A58"/>
    <w:rsid w:val="00184D19"/>
    <w:rsid w:val="00187197"/>
    <w:rsid w:val="001904A5"/>
    <w:rsid w:val="00190CD8"/>
    <w:rsid w:val="00190D6A"/>
    <w:rsid w:val="00190F2B"/>
    <w:rsid w:val="00192E4D"/>
    <w:rsid w:val="00193F4C"/>
    <w:rsid w:val="00194105"/>
    <w:rsid w:val="00197CCF"/>
    <w:rsid w:val="001A03A9"/>
    <w:rsid w:val="001A2AF9"/>
    <w:rsid w:val="001A2D74"/>
    <w:rsid w:val="001A4A4C"/>
    <w:rsid w:val="001A628D"/>
    <w:rsid w:val="001A7FA8"/>
    <w:rsid w:val="001B08D3"/>
    <w:rsid w:val="001B09B6"/>
    <w:rsid w:val="001B22C6"/>
    <w:rsid w:val="001B407B"/>
    <w:rsid w:val="001C0B75"/>
    <w:rsid w:val="001C1889"/>
    <w:rsid w:val="001C7C53"/>
    <w:rsid w:val="001D0635"/>
    <w:rsid w:val="001D321D"/>
    <w:rsid w:val="001D4D7A"/>
    <w:rsid w:val="001D5DF6"/>
    <w:rsid w:val="001D6371"/>
    <w:rsid w:val="001D6C8F"/>
    <w:rsid w:val="001D717D"/>
    <w:rsid w:val="001E09CA"/>
    <w:rsid w:val="001E1C55"/>
    <w:rsid w:val="001E1E11"/>
    <w:rsid w:val="001E3071"/>
    <w:rsid w:val="001E3082"/>
    <w:rsid w:val="001E3DB0"/>
    <w:rsid w:val="001F07EE"/>
    <w:rsid w:val="001F0AEF"/>
    <w:rsid w:val="001F12EC"/>
    <w:rsid w:val="001F2A50"/>
    <w:rsid w:val="001F3587"/>
    <w:rsid w:val="001F3CBB"/>
    <w:rsid w:val="001F41B8"/>
    <w:rsid w:val="001F592D"/>
    <w:rsid w:val="001F723D"/>
    <w:rsid w:val="00202AE1"/>
    <w:rsid w:val="002034CE"/>
    <w:rsid w:val="00204AC1"/>
    <w:rsid w:val="00204B1B"/>
    <w:rsid w:val="00206D02"/>
    <w:rsid w:val="00211588"/>
    <w:rsid w:val="00214B7B"/>
    <w:rsid w:val="00215B2D"/>
    <w:rsid w:val="00220BBF"/>
    <w:rsid w:val="0022470E"/>
    <w:rsid w:val="00224E2F"/>
    <w:rsid w:val="00230835"/>
    <w:rsid w:val="00231260"/>
    <w:rsid w:val="00231B10"/>
    <w:rsid w:val="0023293F"/>
    <w:rsid w:val="00233DCD"/>
    <w:rsid w:val="002342E0"/>
    <w:rsid w:val="00240DFB"/>
    <w:rsid w:val="00242BB9"/>
    <w:rsid w:val="00245350"/>
    <w:rsid w:val="002467C4"/>
    <w:rsid w:val="00246D66"/>
    <w:rsid w:val="00250CCE"/>
    <w:rsid w:val="00251291"/>
    <w:rsid w:val="002536E3"/>
    <w:rsid w:val="00255CA5"/>
    <w:rsid w:val="00262754"/>
    <w:rsid w:val="002642F7"/>
    <w:rsid w:val="00264A51"/>
    <w:rsid w:val="00266E59"/>
    <w:rsid w:val="00266ED2"/>
    <w:rsid w:val="002671A9"/>
    <w:rsid w:val="002707D1"/>
    <w:rsid w:val="002727B9"/>
    <w:rsid w:val="0027310C"/>
    <w:rsid w:val="00274035"/>
    <w:rsid w:val="002750EE"/>
    <w:rsid w:val="002779D0"/>
    <w:rsid w:val="002820E2"/>
    <w:rsid w:val="0028283B"/>
    <w:rsid w:val="00284878"/>
    <w:rsid w:val="002854C5"/>
    <w:rsid w:val="00285FFE"/>
    <w:rsid w:val="002872D1"/>
    <w:rsid w:val="002911F1"/>
    <w:rsid w:val="00294CD0"/>
    <w:rsid w:val="00295288"/>
    <w:rsid w:val="00295322"/>
    <w:rsid w:val="002953C6"/>
    <w:rsid w:val="002964D0"/>
    <w:rsid w:val="00296BD1"/>
    <w:rsid w:val="002A77E2"/>
    <w:rsid w:val="002B3259"/>
    <w:rsid w:val="002B357E"/>
    <w:rsid w:val="002B3E8C"/>
    <w:rsid w:val="002B4484"/>
    <w:rsid w:val="002B6783"/>
    <w:rsid w:val="002B7718"/>
    <w:rsid w:val="002C0E76"/>
    <w:rsid w:val="002C0EB9"/>
    <w:rsid w:val="002C19AE"/>
    <w:rsid w:val="002C3151"/>
    <w:rsid w:val="002C4125"/>
    <w:rsid w:val="002C6533"/>
    <w:rsid w:val="002C6F62"/>
    <w:rsid w:val="002C71C0"/>
    <w:rsid w:val="002D32E8"/>
    <w:rsid w:val="002D38B3"/>
    <w:rsid w:val="002D52DA"/>
    <w:rsid w:val="002D595A"/>
    <w:rsid w:val="002D61DF"/>
    <w:rsid w:val="002D6346"/>
    <w:rsid w:val="002D6455"/>
    <w:rsid w:val="002D73C6"/>
    <w:rsid w:val="002E0F3C"/>
    <w:rsid w:val="002E18A1"/>
    <w:rsid w:val="002E244B"/>
    <w:rsid w:val="002E2877"/>
    <w:rsid w:val="002E4CB2"/>
    <w:rsid w:val="002F31D1"/>
    <w:rsid w:val="002F34E5"/>
    <w:rsid w:val="002F4296"/>
    <w:rsid w:val="002F5A95"/>
    <w:rsid w:val="002F64DD"/>
    <w:rsid w:val="003021C7"/>
    <w:rsid w:val="00303884"/>
    <w:rsid w:val="00304F03"/>
    <w:rsid w:val="00305DC6"/>
    <w:rsid w:val="003064D3"/>
    <w:rsid w:val="0031090D"/>
    <w:rsid w:val="00312544"/>
    <w:rsid w:val="00313632"/>
    <w:rsid w:val="00314469"/>
    <w:rsid w:val="00316AA4"/>
    <w:rsid w:val="00320088"/>
    <w:rsid w:val="00322384"/>
    <w:rsid w:val="0032383E"/>
    <w:rsid w:val="00324B19"/>
    <w:rsid w:val="00332EE8"/>
    <w:rsid w:val="00332FA1"/>
    <w:rsid w:val="00335D66"/>
    <w:rsid w:val="0033677F"/>
    <w:rsid w:val="00341979"/>
    <w:rsid w:val="00343170"/>
    <w:rsid w:val="00347C9F"/>
    <w:rsid w:val="00355B0F"/>
    <w:rsid w:val="00357CFE"/>
    <w:rsid w:val="00361A44"/>
    <w:rsid w:val="00362940"/>
    <w:rsid w:val="00362CF2"/>
    <w:rsid w:val="0036648A"/>
    <w:rsid w:val="003703EC"/>
    <w:rsid w:val="003710EA"/>
    <w:rsid w:val="0038085E"/>
    <w:rsid w:val="00382231"/>
    <w:rsid w:val="00383373"/>
    <w:rsid w:val="0039075B"/>
    <w:rsid w:val="003907E3"/>
    <w:rsid w:val="00391374"/>
    <w:rsid w:val="00392830"/>
    <w:rsid w:val="00392EDA"/>
    <w:rsid w:val="00395825"/>
    <w:rsid w:val="00395D05"/>
    <w:rsid w:val="0039667A"/>
    <w:rsid w:val="00396894"/>
    <w:rsid w:val="00396F3C"/>
    <w:rsid w:val="00396FF5"/>
    <w:rsid w:val="0039790B"/>
    <w:rsid w:val="003A221D"/>
    <w:rsid w:val="003A3841"/>
    <w:rsid w:val="003A3F5D"/>
    <w:rsid w:val="003A60FB"/>
    <w:rsid w:val="003B0ED9"/>
    <w:rsid w:val="003B2D81"/>
    <w:rsid w:val="003B39BA"/>
    <w:rsid w:val="003B460B"/>
    <w:rsid w:val="003B5D0D"/>
    <w:rsid w:val="003B6BFF"/>
    <w:rsid w:val="003C2353"/>
    <w:rsid w:val="003C2954"/>
    <w:rsid w:val="003C36DD"/>
    <w:rsid w:val="003C3F5F"/>
    <w:rsid w:val="003C74B0"/>
    <w:rsid w:val="003D2A41"/>
    <w:rsid w:val="003D34F0"/>
    <w:rsid w:val="003D5034"/>
    <w:rsid w:val="003D5AAE"/>
    <w:rsid w:val="003E11B9"/>
    <w:rsid w:val="003E1254"/>
    <w:rsid w:val="003E5455"/>
    <w:rsid w:val="003E5BB3"/>
    <w:rsid w:val="003E6089"/>
    <w:rsid w:val="003F18B5"/>
    <w:rsid w:val="003F2409"/>
    <w:rsid w:val="003F3ACA"/>
    <w:rsid w:val="003F476F"/>
    <w:rsid w:val="003F47D3"/>
    <w:rsid w:val="003F6A47"/>
    <w:rsid w:val="003F7E54"/>
    <w:rsid w:val="004011EC"/>
    <w:rsid w:val="004031D2"/>
    <w:rsid w:val="00404A88"/>
    <w:rsid w:val="00405DD9"/>
    <w:rsid w:val="00411019"/>
    <w:rsid w:val="00412862"/>
    <w:rsid w:val="00413D51"/>
    <w:rsid w:val="00415E1C"/>
    <w:rsid w:val="00416608"/>
    <w:rsid w:val="00417856"/>
    <w:rsid w:val="00420D2E"/>
    <w:rsid w:val="004212C3"/>
    <w:rsid w:val="004215A9"/>
    <w:rsid w:val="00422B5D"/>
    <w:rsid w:val="00424118"/>
    <w:rsid w:val="004257B0"/>
    <w:rsid w:val="00425B12"/>
    <w:rsid w:val="00426BBC"/>
    <w:rsid w:val="00433A03"/>
    <w:rsid w:val="00433BF8"/>
    <w:rsid w:val="0043412E"/>
    <w:rsid w:val="00434461"/>
    <w:rsid w:val="00435B6B"/>
    <w:rsid w:val="0043641F"/>
    <w:rsid w:val="00436B9E"/>
    <w:rsid w:val="00437F76"/>
    <w:rsid w:val="00452CF3"/>
    <w:rsid w:val="00460F5F"/>
    <w:rsid w:val="00461058"/>
    <w:rsid w:val="00461FC7"/>
    <w:rsid w:val="00466AFC"/>
    <w:rsid w:val="0047043D"/>
    <w:rsid w:val="004709A8"/>
    <w:rsid w:val="004718F6"/>
    <w:rsid w:val="004743D7"/>
    <w:rsid w:val="00474912"/>
    <w:rsid w:val="00475EA5"/>
    <w:rsid w:val="004768C9"/>
    <w:rsid w:val="00480EB1"/>
    <w:rsid w:val="00483C1B"/>
    <w:rsid w:val="004856D9"/>
    <w:rsid w:val="004866AD"/>
    <w:rsid w:val="004879C9"/>
    <w:rsid w:val="004900F1"/>
    <w:rsid w:val="00491F9C"/>
    <w:rsid w:val="00492AD8"/>
    <w:rsid w:val="004936BE"/>
    <w:rsid w:val="00496A50"/>
    <w:rsid w:val="004A0049"/>
    <w:rsid w:val="004A0F01"/>
    <w:rsid w:val="004A432A"/>
    <w:rsid w:val="004A4644"/>
    <w:rsid w:val="004A5E92"/>
    <w:rsid w:val="004A64EA"/>
    <w:rsid w:val="004A702D"/>
    <w:rsid w:val="004B0A56"/>
    <w:rsid w:val="004B159F"/>
    <w:rsid w:val="004B706A"/>
    <w:rsid w:val="004B71B7"/>
    <w:rsid w:val="004C286C"/>
    <w:rsid w:val="004C6C2C"/>
    <w:rsid w:val="004D0805"/>
    <w:rsid w:val="004D61DC"/>
    <w:rsid w:val="004E2E1E"/>
    <w:rsid w:val="004E321A"/>
    <w:rsid w:val="004E3567"/>
    <w:rsid w:val="004E397A"/>
    <w:rsid w:val="004E4A33"/>
    <w:rsid w:val="004F250E"/>
    <w:rsid w:val="004F2D5B"/>
    <w:rsid w:val="004F4316"/>
    <w:rsid w:val="004F60CF"/>
    <w:rsid w:val="00502395"/>
    <w:rsid w:val="00503360"/>
    <w:rsid w:val="005059DE"/>
    <w:rsid w:val="00505BEB"/>
    <w:rsid w:val="0051093C"/>
    <w:rsid w:val="00515B2C"/>
    <w:rsid w:val="00515D80"/>
    <w:rsid w:val="00517955"/>
    <w:rsid w:val="00520819"/>
    <w:rsid w:val="00523C4C"/>
    <w:rsid w:val="0052575C"/>
    <w:rsid w:val="00525C1D"/>
    <w:rsid w:val="00530131"/>
    <w:rsid w:val="00531494"/>
    <w:rsid w:val="00533C86"/>
    <w:rsid w:val="0053763A"/>
    <w:rsid w:val="00537847"/>
    <w:rsid w:val="00541AA9"/>
    <w:rsid w:val="00542CF3"/>
    <w:rsid w:val="00546B68"/>
    <w:rsid w:val="00546C3F"/>
    <w:rsid w:val="00547AF1"/>
    <w:rsid w:val="005519A1"/>
    <w:rsid w:val="00552613"/>
    <w:rsid w:val="005526DD"/>
    <w:rsid w:val="005553B5"/>
    <w:rsid w:val="00556724"/>
    <w:rsid w:val="0055782A"/>
    <w:rsid w:val="0056248D"/>
    <w:rsid w:val="00564C86"/>
    <w:rsid w:val="00565E6F"/>
    <w:rsid w:val="00566DEF"/>
    <w:rsid w:val="0056732B"/>
    <w:rsid w:val="00570713"/>
    <w:rsid w:val="00571C01"/>
    <w:rsid w:val="00573676"/>
    <w:rsid w:val="00574510"/>
    <w:rsid w:val="00580DCB"/>
    <w:rsid w:val="0058299A"/>
    <w:rsid w:val="005832B6"/>
    <w:rsid w:val="005835D8"/>
    <w:rsid w:val="005841F3"/>
    <w:rsid w:val="0058438C"/>
    <w:rsid w:val="00587483"/>
    <w:rsid w:val="005920D4"/>
    <w:rsid w:val="0059360F"/>
    <w:rsid w:val="00594017"/>
    <w:rsid w:val="00597591"/>
    <w:rsid w:val="005A16F0"/>
    <w:rsid w:val="005A23A4"/>
    <w:rsid w:val="005A2BC5"/>
    <w:rsid w:val="005A2CF1"/>
    <w:rsid w:val="005A4A78"/>
    <w:rsid w:val="005B0972"/>
    <w:rsid w:val="005B16F2"/>
    <w:rsid w:val="005B1A13"/>
    <w:rsid w:val="005B2EE0"/>
    <w:rsid w:val="005B4563"/>
    <w:rsid w:val="005B60AC"/>
    <w:rsid w:val="005B6C5E"/>
    <w:rsid w:val="005C10EC"/>
    <w:rsid w:val="005C1A1A"/>
    <w:rsid w:val="005C277A"/>
    <w:rsid w:val="005C28F7"/>
    <w:rsid w:val="005C4B17"/>
    <w:rsid w:val="005C4D64"/>
    <w:rsid w:val="005D7765"/>
    <w:rsid w:val="005D7799"/>
    <w:rsid w:val="005D77A1"/>
    <w:rsid w:val="005D7F95"/>
    <w:rsid w:val="005E0CE7"/>
    <w:rsid w:val="005E244A"/>
    <w:rsid w:val="005E32C9"/>
    <w:rsid w:val="005E35D1"/>
    <w:rsid w:val="005F16EF"/>
    <w:rsid w:val="005F1C39"/>
    <w:rsid w:val="005F1D1A"/>
    <w:rsid w:val="005F2822"/>
    <w:rsid w:val="005F2854"/>
    <w:rsid w:val="005F3D0A"/>
    <w:rsid w:val="005F526D"/>
    <w:rsid w:val="005F6D58"/>
    <w:rsid w:val="005F79E7"/>
    <w:rsid w:val="00600A3E"/>
    <w:rsid w:val="00601F7D"/>
    <w:rsid w:val="006034BD"/>
    <w:rsid w:val="00605030"/>
    <w:rsid w:val="00605767"/>
    <w:rsid w:val="00607BEB"/>
    <w:rsid w:val="00607E05"/>
    <w:rsid w:val="00612006"/>
    <w:rsid w:val="00615ACD"/>
    <w:rsid w:val="0061681C"/>
    <w:rsid w:val="00616E78"/>
    <w:rsid w:val="00620209"/>
    <w:rsid w:val="006212C8"/>
    <w:rsid w:val="006221A4"/>
    <w:rsid w:val="00623819"/>
    <w:rsid w:val="006248DA"/>
    <w:rsid w:val="00631EAF"/>
    <w:rsid w:val="00632982"/>
    <w:rsid w:val="00634401"/>
    <w:rsid w:val="006369CD"/>
    <w:rsid w:val="006469FA"/>
    <w:rsid w:val="00646FBF"/>
    <w:rsid w:val="00647B10"/>
    <w:rsid w:val="006518D8"/>
    <w:rsid w:val="006554C6"/>
    <w:rsid w:val="00660123"/>
    <w:rsid w:val="006615FC"/>
    <w:rsid w:val="00661BB9"/>
    <w:rsid w:val="00661FE7"/>
    <w:rsid w:val="00664532"/>
    <w:rsid w:val="00664DB3"/>
    <w:rsid w:val="006666AD"/>
    <w:rsid w:val="00666867"/>
    <w:rsid w:val="00670020"/>
    <w:rsid w:val="006720D5"/>
    <w:rsid w:val="0068303C"/>
    <w:rsid w:val="0068393C"/>
    <w:rsid w:val="00683C07"/>
    <w:rsid w:val="00683F6B"/>
    <w:rsid w:val="00686CE2"/>
    <w:rsid w:val="00693872"/>
    <w:rsid w:val="00695075"/>
    <w:rsid w:val="00695DA4"/>
    <w:rsid w:val="00697916"/>
    <w:rsid w:val="006A30A1"/>
    <w:rsid w:val="006A31D6"/>
    <w:rsid w:val="006A5E68"/>
    <w:rsid w:val="006A67ED"/>
    <w:rsid w:val="006A6E09"/>
    <w:rsid w:val="006B0642"/>
    <w:rsid w:val="006B19AD"/>
    <w:rsid w:val="006B2086"/>
    <w:rsid w:val="006C0A22"/>
    <w:rsid w:val="006C1D09"/>
    <w:rsid w:val="006C268A"/>
    <w:rsid w:val="006C79F1"/>
    <w:rsid w:val="006C7C3D"/>
    <w:rsid w:val="006D3061"/>
    <w:rsid w:val="006D3DA1"/>
    <w:rsid w:val="006D5A4D"/>
    <w:rsid w:val="006D6EA6"/>
    <w:rsid w:val="006E0FA2"/>
    <w:rsid w:val="006E2996"/>
    <w:rsid w:val="006E358F"/>
    <w:rsid w:val="006E4070"/>
    <w:rsid w:val="006E439D"/>
    <w:rsid w:val="006E5D63"/>
    <w:rsid w:val="006E7A84"/>
    <w:rsid w:val="006F691A"/>
    <w:rsid w:val="006F6E7E"/>
    <w:rsid w:val="006F77CD"/>
    <w:rsid w:val="00700163"/>
    <w:rsid w:val="00701468"/>
    <w:rsid w:val="0070294B"/>
    <w:rsid w:val="00704E3B"/>
    <w:rsid w:val="007072B2"/>
    <w:rsid w:val="00710627"/>
    <w:rsid w:val="00710830"/>
    <w:rsid w:val="007116D8"/>
    <w:rsid w:val="007126F4"/>
    <w:rsid w:val="007137B6"/>
    <w:rsid w:val="007141FB"/>
    <w:rsid w:val="00716617"/>
    <w:rsid w:val="007176D0"/>
    <w:rsid w:val="00723A23"/>
    <w:rsid w:val="0073198F"/>
    <w:rsid w:val="00736033"/>
    <w:rsid w:val="00737A2D"/>
    <w:rsid w:val="00737CA8"/>
    <w:rsid w:val="00742558"/>
    <w:rsid w:val="00743633"/>
    <w:rsid w:val="00743E4B"/>
    <w:rsid w:val="00746C80"/>
    <w:rsid w:val="007477C1"/>
    <w:rsid w:val="0075051B"/>
    <w:rsid w:val="00752326"/>
    <w:rsid w:val="007536C7"/>
    <w:rsid w:val="007602E1"/>
    <w:rsid w:val="00765CE9"/>
    <w:rsid w:val="00772A3B"/>
    <w:rsid w:val="007730F9"/>
    <w:rsid w:val="0077454A"/>
    <w:rsid w:val="00776010"/>
    <w:rsid w:val="00776D83"/>
    <w:rsid w:val="00781194"/>
    <w:rsid w:val="00786E49"/>
    <w:rsid w:val="0079048D"/>
    <w:rsid w:val="007923AC"/>
    <w:rsid w:val="00793937"/>
    <w:rsid w:val="007A0275"/>
    <w:rsid w:val="007A2319"/>
    <w:rsid w:val="007A25FE"/>
    <w:rsid w:val="007B3B95"/>
    <w:rsid w:val="007B405C"/>
    <w:rsid w:val="007B7C15"/>
    <w:rsid w:val="007C172D"/>
    <w:rsid w:val="007C2BEE"/>
    <w:rsid w:val="007C3B74"/>
    <w:rsid w:val="007C51E7"/>
    <w:rsid w:val="007C5CE2"/>
    <w:rsid w:val="007D2540"/>
    <w:rsid w:val="007D666A"/>
    <w:rsid w:val="007D6E1E"/>
    <w:rsid w:val="007E183F"/>
    <w:rsid w:val="007E21D6"/>
    <w:rsid w:val="007E5D16"/>
    <w:rsid w:val="007E75FD"/>
    <w:rsid w:val="007F2902"/>
    <w:rsid w:val="007F4571"/>
    <w:rsid w:val="007F7495"/>
    <w:rsid w:val="007F7F15"/>
    <w:rsid w:val="008006F6"/>
    <w:rsid w:val="008010C3"/>
    <w:rsid w:val="00801963"/>
    <w:rsid w:val="0080573A"/>
    <w:rsid w:val="00805766"/>
    <w:rsid w:val="00806ADB"/>
    <w:rsid w:val="00807271"/>
    <w:rsid w:val="00810F50"/>
    <w:rsid w:val="00813F49"/>
    <w:rsid w:val="0081428B"/>
    <w:rsid w:val="00814ED2"/>
    <w:rsid w:val="0081751D"/>
    <w:rsid w:val="00817A97"/>
    <w:rsid w:val="008202A1"/>
    <w:rsid w:val="0082199E"/>
    <w:rsid w:val="00830FF6"/>
    <w:rsid w:val="00832D83"/>
    <w:rsid w:val="00832E68"/>
    <w:rsid w:val="008336E4"/>
    <w:rsid w:val="00833A20"/>
    <w:rsid w:val="00833BC1"/>
    <w:rsid w:val="0083640A"/>
    <w:rsid w:val="00845C34"/>
    <w:rsid w:val="00847888"/>
    <w:rsid w:val="00847F55"/>
    <w:rsid w:val="00850644"/>
    <w:rsid w:val="00853322"/>
    <w:rsid w:val="0085439C"/>
    <w:rsid w:val="0085439E"/>
    <w:rsid w:val="00854EA1"/>
    <w:rsid w:val="00854EC0"/>
    <w:rsid w:val="00855BC2"/>
    <w:rsid w:val="008575F1"/>
    <w:rsid w:val="0086064A"/>
    <w:rsid w:val="00864667"/>
    <w:rsid w:val="008649D2"/>
    <w:rsid w:val="008713DF"/>
    <w:rsid w:val="00881291"/>
    <w:rsid w:val="00881EFA"/>
    <w:rsid w:val="00883702"/>
    <w:rsid w:val="0088440C"/>
    <w:rsid w:val="0088483F"/>
    <w:rsid w:val="00885366"/>
    <w:rsid w:val="00885ADD"/>
    <w:rsid w:val="00886A28"/>
    <w:rsid w:val="00886D0A"/>
    <w:rsid w:val="0089147A"/>
    <w:rsid w:val="00892516"/>
    <w:rsid w:val="008955AF"/>
    <w:rsid w:val="00897011"/>
    <w:rsid w:val="008A2EC6"/>
    <w:rsid w:val="008A6B66"/>
    <w:rsid w:val="008A7FAB"/>
    <w:rsid w:val="008B0A6C"/>
    <w:rsid w:val="008B196A"/>
    <w:rsid w:val="008B22B5"/>
    <w:rsid w:val="008B4123"/>
    <w:rsid w:val="008B4532"/>
    <w:rsid w:val="008C105B"/>
    <w:rsid w:val="008C1188"/>
    <w:rsid w:val="008C217B"/>
    <w:rsid w:val="008C306E"/>
    <w:rsid w:val="008C309A"/>
    <w:rsid w:val="008C32B7"/>
    <w:rsid w:val="008C3EFB"/>
    <w:rsid w:val="008C49EE"/>
    <w:rsid w:val="008C67D2"/>
    <w:rsid w:val="008C7B15"/>
    <w:rsid w:val="008C7EAE"/>
    <w:rsid w:val="008D035A"/>
    <w:rsid w:val="008E3946"/>
    <w:rsid w:val="008E443D"/>
    <w:rsid w:val="008E6488"/>
    <w:rsid w:val="008E72E3"/>
    <w:rsid w:val="008E7FCC"/>
    <w:rsid w:val="008F2F6C"/>
    <w:rsid w:val="008F4138"/>
    <w:rsid w:val="008F45E5"/>
    <w:rsid w:val="008F51EF"/>
    <w:rsid w:val="008F67C1"/>
    <w:rsid w:val="009006CD"/>
    <w:rsid w:val="00901A47"/>
    <w:rsid w:val="00902346"/>
    <w:rsid w:val="00902A8D"/>
    <w:rsid w:val="0091075C"/>
    <w:rsid w:val="00911BED"/>
    <w:rsid w:val="00914639"/>
    <w:rsid w:val="00915522"/>
    <w:rsid w:val="00915613"/>
    <w:rsid w:val="00917131"/>
    <w:rsid w:val="009177E1"/>
    <w:rsid w:val="00922000"/>
    <w:rsid w:val="009254E7"/>
    <w:rsid w:val="00933A0C"/>
    <w:rsid w:val="009351A9"/>
    <w:rsid w:val="00935A45"/>
    <w:rsid w:val="00941303"/>
    <w:rsid w:val="00942815"/>
    <w:rsid w:val="009478D6"/>
    <w:rsid w:val="00950D94"/>
    <w:rsid w:val="0095236C"/>
    <w:rsid w:val="00953273"/>
    <w:rsid w:val="00953920"/>
    <w:rsid w:val="00954A08"/>
    <w:rsid w:val="00954E2B"/>
    <w:rsid w:val="00961893"/>
    <w:rsid w:val="00964255"/>
    <w:rsid w:val="0096610B"/>
    <w:rsid w:val="00967C64"/>
    <w:rsid w:val="009700B7"/>
    <w:rsid w:val="00971614"/>
    <w:rsid w:val="0097267C"/>
    <w:rsid w:val="009731A9"/>
    <w:rsid w:val="00974037"/>
    <w:rsid w:val="009741FE"/>
    <w:rsid w:val="00974CCD"/>
    <w:rsid w:val="0098552E"/>
    <w:rsid w:val="00986A40"/>
    <w:rsid w:val="00987611"/>
    <w:rsid w:val="00990068"/>
    <w:rsid w:val="009903FB"/>
    <w:rsid w:val="0099336B"/>
    <w:rsid w:val="00995A4F"/>
    <w:rsid w:val="009A0A76"/>
    <w:rsid w:val="009A0D54"/>
    <w:rsid w:val="009A334F"/>
    <w:rsid w:val="009A3B06"/>
    <w:rsid w:val="009A3C35"/>
    <w:rsid w:val="009A4D95"/>
    <w:rsid w:val="009A4E8D"/>
    <w:rsid w:val="009A5287"/>
    <w:rsid w:val="009A5B96"/>
    <w:rsid w:val="009A6FE7"/>
    <w:rsid w:val="009A7879"/>
    <w:rsid w:val="009B1C79"/>
    <w:rsid w:val="009B233D"/>
    <w:rsid w:val="009B28A9"/>
    <w:rsid w:val="009B3586"/>
    <w:rsid w:val="009C0053"/>
    <w:rsid w:val="009C0B86"/>
    <w:rsid w:val="009C1251"/>
    <w:rsid w:val="009C4562"/>
    <w:rsid w:val="009C4569"/>
    <w:rsid w:val="009C4D6A"/>
    <w:rsid w:val="009C5773"/>
    <w:rsid w:val="009C591C"/>
    <w:rsid w:val="009D4E78"/>
    <w:rsid w:val="009E0938"/>
    <w:rsid w:val="009E460D"/>
    <w:rsid w:val="009E591A"/>
    <w:rsid w:val="009E6A3F"/>
    <w:rsid w:val="009E7FB3"/>
    <w:rsid w:val="009F12E6"/>
    <w:rsid w:val="009F1378"/>
    <w:rsid w:val="009F4398"/>
    <w:rsid w:val="00A04550"/>
    <w:rsid w:val="00A05776"/>
    <w:rsid w:val="00A058FF"/>
    <w:rsid w:val="00A10C60"/>
    <w:rsid w:val="00A12A7E"/>
    <w:rsid w:val="00A12AC2"/>
    <w:rsid w:val="00A163F3"/>
    <w:rsid w:val="00A16CC8"/>
    <w:rsid w:val="00A172B9"/>
    <w:rsid w:val="00A17728"/>
    <w:rsid w:val="00A24D67"/>
    <w:rsid w:val="00A255AE"/>
    <w:rsid w:val="00A2585D"/>
    <w:rsid w:val="00A27126"/>
    <w:rsid w:val="00A31840"/>
    <w:rsid w:val="00A322A2"/>
    <w:rsid w:val="00A34566"/>
    <w:rsid w:val="00A40A03"/>
    <w:rsid w:val="00A41140"/>
    <w:rsid w:val="00A42AC0"/>
    <w:rsid w:val="00A42FFD"/>
    <w:rsid w:val="00A52D16"/>
    <w:rsid w:val="00A567ED"/>
    <w:rsid w:val="00A56D54"/>
    <w:rsid w:val="00A57E26"/>
    <w:rsid w:val="00A60D78"/>
    <w:rsid w:val="00A616BD"/>
    <w:rsid w:val="00A617AE"/>
    <w:rsid w:val="00A619F9"/>
    <w:rsid w:val="00A63B97"/>
    <w:rsid w:val="00A67C57"/>
    <w:rsid w:val="00A67E26"/>
    <w:rsid w:val="00A70F77"/>
    <w:rsid w:val="00A72B3B"/>
    <w:rsid w:val="00A73E2B"/>
    <w:rsid w:val="00A7567B"/>
    <w:rsid w:val="00A8421A"/>
    <w:rsid w:val="00A86067"/>
    <w:rsid w:val="00A869BD"/>
    <w:rsid w:val="00A86F36"/>
    <w:rsid w:val="00A92782"/>
    <w:rsid w:val="00A941FD"/>
    <w:rsid w:val="00A95A57"/>
    <w:rsid w:val="00A96050"/>
    <w:rsid w:val="00A96056"/>
    <w:rsid w:val="00A97BDB"/>
    <w:rsid w:val="00AA0F7C"/>
    <w:rsid w:val="00AA41AC"/>
    <w:rsid w:val="00AA5E82"/>
    <w:rsid w:val="00AB1E0D"/>
    <w:rsid w:val="00AB20B0"/>
    <w:rsid w:val="00AB24F8"/>
    <w:rsid w:val="00AB66EE"/>
    <w:rsid w:val="00AC33DE"/>
    <w:rsid w:val="00AD0DEB"/>
    <w:rsid w:val="00AD1399"/>
    <w:rsid w:val="00AD13FA"/>
    <w:rsid w:val="00AD38E8"/>
    <w:rsid w:val="00AD4154"/>
    <w:rsid w:val="00AD5802"/>
    <w:rsid w:val="00AE0E51"/>
    <w:rsid w:val="00AE3506"/>
    <w:rsid w:val="00AE4F52"/>
    <w:rsid w:val="00AE57BE"/>
    <w:rsid w:val="00AE5DA5"/>
    <w:rsid w:val="00AF0F8A"/>
    <w:rsid w:val="00AF3D42"/>
    <w:rsid w:val="00AF68F4"/>
    <w:rsid w:val="00AF7FAF"/>
    <w:rsid w:val="00B0074C"/>
    <w:rsid w:val="00B01D93"/>
    <w:rsid w:val="00B02272"/>
    <w:rsid w:val="00B02A3A"/>
    <w:rsid w:val="00B03D03"/>
    <w:rsid w:val="00B048BE"/>
    <w:rsid w:val="00B07C20"/>
    <w:rsid w:val="00B11EF1"/>
    <w:rsid w:val="00B127BE"/>
    <w:rsid w:val="00B14DBA"/>
    <w:rsid w:val="00B1735C"/>
    <w:rsid w:val="00B17DCB"/>
    <w:rsid w:val="00B209E7"/>
    <w:rsid w:val="00B2375D"/>
    <w:rsid w:val="00B23ECC"/>
    <w:rsid w:val="00B24786"/>
    <w:rsid w:val="00B24808"/>
    <w:rsid w:val="00B270E5"/>
    <w:rsid w:val="00B27816"/>
    <w:rsid w:val="00B31626"/>
    <w:rsid w:val="00B31949"/>
    <w:rsid w:val="00B31E1B"/>
    <w:rsid w:val="00B3275B"/>
    <w:rsid w:val="00B342FB"/>
    <w:rsid w:val="00B3450E"/>
    <w:rsid w:val="00B351A7"/>
    <w:rsid w:val="00B3582B"/>
    <w:rsid w:val="00B375EF"/>
    <w:rsid w:val="00B4295F"/>
    <w:rsid w:val="00B45131"/>
    <w:rsid w:val="00B46290"/>
    <w:rsid w:val="00B46342"/>
    <w:rsid w:val="00B47313"/>
    <w:rsid w:val="00B47D7B"/>
    <w:rsid w:val="00B5231C"/>
    <w:rsid w:val="00B53C7D"/>
    <w:rsid w:val="00B540C2"/>
    <w:rsid w:val="00B5566C"/>
    <w:rsid w:val="00B55B37"/>
    <w:rsid w:val="00B60E65"/>
    <w:rsid w:val="00B62A3E"/>
    <w:rsid w:val="00B65AD3"/>
    <w:rsid w:val="00B70F42"/>
    <w:rsid w:val="00B75614"/>
    <w:rsid w:val="00B7659E"/>
    <w:rsid w:val="00B80743"/>
    <w:rsid w:val="00B82FF0"/>
    <w:rsid w:val="00B83147"/>
    <w:rsid w:val="00B85546"/>
    <w:rsid w:val="00B8690C"/>
    <w:rsid w:val="00B876CC"/>
    <w:rsid w:val="00B9073E"/>
    <w:rsid w:val="00B90F7E"/>
    <w:rsid w:val="00B92904"/>
    <w:rsid w:val="00B94DEF"/>
    <w:rsid w:val="00B950BA"/>
    <w:rsid w:val="00B957B5"/>
    <w:rsid w:val="00B977F3"/>
    <w:rsid w:val="00B979AA"/>
    <w:rsid w:val="00B97B36"/>
    <w:rsid w:val="00BA0208"/>
    <w:rsid w:val="00BA03D3"/>
    <w:rsid w:val="00BA0673"/>
    <w:rsid w:val="00BA0DB5"/>
    <w:rsid w:val="00BA1B8C"/>
    <w:rsid w:val="00BA2931"/>
    <w:rsid w:val="00BA2B73"/>
    <w:rsid w:val="00BA4392"/>
    <w:rsid w:val="00BA4497"/>
    <w:rsid w:val="00BA79A8"/>
    <w:rsid w:val="00BB0FD8"/>
    <w:rsid w:val="00BB19AB"/>
    <w:rsid w:val="00BB269C"/>
    <w:rsid w:val="00BB3F8E"/>
    <w:rsid w:val="00BB45AF"/>
    <w:rsid w:val="00BB5EFC"/>
    <w:rsid w:val="00BB64C2"/>
    <w:rsid w:val="00BB6CD7"/>
    <w:rsid w:val="00BC088B"/>
    <w:rsid w:val="00BC0ADF"/>
    <w:rsid w:val="00BC587D"/>
    <w:rsid w:val="00BD0267"/>
    <w:rsid w:val="00BD1B13"/>
    <w:rsid w:val="00BD3B7C"/>
    <w:rsid w:val="00BD48EF"/>
    <w:rsid w:val="00BD6586"/>
    <w:rsid w:val="00BE339E"/>
    <w:rsid w:val="00BE43A4"/>
    <w:rsid w:val="00BE4E4A"/>
    <w:rsid w:val="00BE77FB"/>
    <w:rsid w:val="00BF0690"/>
    <w:rsid w:val="00BF0860"/>
    <w:rsid w:val="00BF1307"/>
    <w:rsid w:val="00BF228A"/>
    <w:rsid w:val="00BF31A0"/>
    <w:rsid w:val="00BF37AB"/>
    <w:rsid w:val="00BF626C"/>
    <w:rsid w:val="00C0037D"/>
    <w:rsid w:val="00C00599"/>
    <w:rsid w:val="00C01D80"/>
    <w:rsid w:val="00C03014"/>
    <w:rsid w:val="00C03112"/>
    <w:rsid w:val="00C07567"/>
    <w:rsid w:val="00C11014"/>
    <w:rsid w:val="00C11389"/>
    <w:rsid w:val="00C11CFC"/>
    <w:rsid w:val="00C128AA"/>
    <w:rsid w:val="00C142BD"/>
    <w:rsid w:val="00C1524B"/>
    <w:rsid w:val="00C22C30"/>
    <w:rsid w:val="00C25D22"/>
    <w:rsid w:val="00C26822"/>
    <w:rsid w:val="00C27A74"/>
    <w:rsid w:val="00C31F37"/>
    <w:rsid w:val="00C32483"/>
    <w:rsid w:val="00C33AAA"/>
    <w:rsid w:val="00C33B4A"/>
    <w:rsid w:val="00C348C3"/>
    <w:rsid w:val="00C35FEB"/>
    <w:rsid w:val="00C41F70"/>
    <w:rsid w:val="00C4242D"/>
    <w:rsid w:val="00C4246D"/>
    <w:rsid w:val="00C42562"/>
    <w:rsid w:val="00C47D89"/>
    <w:rsid w:val="00C53F9E"/>
    <w:rsid w:val="00C54457"/>
    <w:rsid w:val="00C57032"/>
    <w:rsid w:val="00C62D5C"/>
    <w:rsid w:val="00C72858"/>
    <w:rsid w:val="00C73FCA"/>
    <w:rsid w:val="00C8763C"/>
    <w:rsid w:val="00C967FA"/>
    <w:rsid w:val="00C9754A"/>
    <w:rsid w:val="00CA0D59"/>
    <w:rsid w:val="00CB0AB7"/>
    <w:rsid w:val="00CB395A"/>
    <w:rsid w:val="00CB57A1"/>
    <w:rsid w:val="00CC0EA4"/>
    <w:rsid w:val="00CC64CC"/>
    <w:rsid w:val="00CD7186"/>
    <w:rsid w:val="00CE3469"/>
    <w:rsid w:val="00CE39F4"/>
    <w:rsid w:val="00CE431E"/>
    <w:rsid w:val="00CF26B2"/>
    <w:rsid w:val="00CF378F"/>
    <w:rsid w:val="00D0088E"/>
    <w:rsid w:val="00D026F6"/>
    <w:rsid w:val="00D03F67"/>
    <w:rsid w:val="00D07F92"/>
    <w:rsid w:val="00D100D4"/>
    <w:rsid w:val="00D111FA"/>
    <w:rsid w:val="00D1356B"/>
    <w:rsid w:val="00D139C1"/>
    <w:rsid w:val="00D143F5"/>
    <w:rsid w:val="00D15D8A"/>
    <w:rsid w:val="00D172AC"/>
    <w:rsid w:val="00D24355"/>
    <w:rsid w:val="00D325DA"/>
    <w:rsid w:val="00D351EB"/>
    <w:rsid w:val="00D40AD0"/>
    <w:rsid w:val="00D447C2"/>
    <w:rsid w:val="00D44DF3"/>
    <w:rsid w:val="00D4506F"/>
    <w:rsid w:val="00D50171"/>
    <w:rsid w:val="00D502B9"/>
    <w:rsid w:val="00D505FA"/>
    <w:rsid w:val="00D50E57"/>
    <w:rsid w:val="00D53718"/>
    <w:rsid w:val="00D53C0D"/>
    <w:rsid w:val="00D54446"/>
    <w:rsid w:val="00D54757"/>
    <w:rsid w:val="00D548B4"/>
    <w:rsid w:val="00D558B5"/>
    <w:rsid w:val="00D61E54"/>
    <w:rsid w:val="00D64C03"/>
    <w:rsid w:val="00D66399"/>
    <w:rsid w:val="00D67276"/>
    <w:rsid w:val="00D71AA7"/>
    <w:rsid w:val="00D732B8"/>
    <w:rsid w:val="00D74B7A"/>
    <w:rsid w:val="00D8106B"/>
    <w:rsid w:val="00D82CFC"/>
    <w:rsid w:val="00D8378E"/>
    <w:rsid w:val="00D852BD"/>
    <w:rsid w:val="00D85E40"/>
    <w:rsid w:val="00D864C9"/>
    <w:rsid w:val="00D86D36"/>
    <w:rsid w:val="00D90E74"/>
    <w:rsid w:val="00D916E2"/>
    <w:rsid w:val="00D925CC"/>
    <w:rsid w:val="00D92E87"/>
    <w:rsid w:val="00D948AF"/>
    <w:rsid w:val="00D94E85"/>
    <w:rsid w:val="00D96181"/>
    <w:rsid w:val="00D96F60"/>
    <w:rsid w:val="00DA2042"/>
    <w:rsid w:val="00DA5059"/>
    <w:rsid w:val="00DA523B"/>
    <w:rsid w:val="00DB171C"/>
    <w:rsid w:val="00DB36FD"/>
    <w:rsid w:val="00DB3D93"/>
    <w:rsid w:val="00DB405F"/>
    <w:rsid w:val="00DB59F9"/>
    <w:rsid w:val="00DC1E74"/>
    <w:rsid w:val="00DC3277"/>
    <w:rsid w:val="00DD0B4C"/>
    <w:rsid w:val="00DD2583"/>
    <w:rsid w:val="00DE4917"/>
    <w:rsid w:val="00DE5DB1"/>
    <w:rsid w:val="00DF19E7"/>
    <w:rsid w:val="00DF1E19"/>
    <w:rsid w:val="00DF2C75"/>
    <w:rsid w:val="00DF3DED"/>
    <w:rsid w:val="00DF40A9"/>
    <w:rsid w:val="00DF4505"/>
    <w:rsid w:val="00DF65D1"/>
    <w:rsid w:val="00E11FA9"/>
    <w:rsid w:val="00E12932"/>
    <w:rsid w:val="00E14AB5"/>
    <w:rsid w:val="00E20D9A"/>
    <w:rsid w:val="00E22341"/>
    <w:rsid w:val="00E23C1A"/>
    <w:rsid w:val="00E23CD8"/>
    <w:rsid w:val="00E25DD3"/>
    <w:rsid w:val="00E26481"/>
    <w:rsid w:val="00E310BE"/>
    <w:rsid w:val="00E316F8"/>
    <w:rsid w:val="00E31A22"/>
    <w:rsid w:val="00E37AE4"/>
    <w:rsid w:val="00E4001C"/>
    <w:rsid w:val="00E435E7"/>
    <w:rsid w:val="00E45413"/>
    <w:rsid w:val="00E50C2B"/>
    <w:rsid w:val="00E50D28"/>
    <w:rsid w:val="00E5627B"/>
    <w:rsid w:val="00E56988"/>
    <w:rsid w:val="00E57D59"/>
    <w:rsid w:val="00E60A2E"/>
    <w:rsid w:val="00E60B67"/>
    <w:rsid w:val="00E60DC8"/>
    <w:rsid w:val="00E61EB2"/>
    <w:rsid w:val="00E65A6E"/>
    <w:rsid w:val="00E74530"/>
    <w:rsid w:val="00E779FD"/>
    <w:rsid w:val="00E81854"/>
    <w:rsid w:val="00E82319"/>
    <w:rsid w:val="00E835E7"/>
    <w:rsid w:val="00E83DD9"/>
    <w:rsid w:val="00E843E2"/>
    <w:rsid w:val="00E85F9A"/>
    <w:rsid w:val="00E87776"/>
    <w:rsid w:val="00E932C4"/>
    <w:rsid w:val="00E93BE6"/>
    <w:rsid w:val="00E945D2"/>
    <w:rsid w:val="00E94B3E"/>
    <w:rsid w:val="00EA0112"/>
    <w:rsid w:val="00EA75D5"/>
    <w:rsid w:val="00EA7BD5"/>
    <w:rsid w:val="00EB3C1F"/>
    <w:rsid w:val="00EB40C4"/>
    <w:rsid w:val="00EB637B"/>
    <w:rsid w:val="00EB6F18"/>
    <w:rsid w:val="00EC0A49"/>
    <w:rsid w:val="00EC1E68"/>
    <w:rsid w:val="00EC66C6"/>
    <w:rsid w:val="00ED0EDA"/>
    <w:rsid w:val="00ED2300"/>
    <w:rsid w:val="00ED4B83"/>
    <w:rsid w:val="00ED5C83"/>
    <w:rsid w:val="00ED6A07"/>
    <w:rsid w:val="00EE15B2"/>
    <w:rsid w:val="00EE1C7D"/>
    <w:rsid w:val="00EE1FF3"/>
    <w:rsid w:val="00EE583D"/>
    <w:rsid w:val="00EE5851"/>
    <w:rsid w:val="00EF2369"/>
    <w:rsid w:val="00EF32F9"/>
    <w:rsid w:val="00EF5842"/>
    <w:rsid w:val="00EF7909"/>
    <w:rsid w:val="00F018CF"/>
    <w:rsid w:val="00F04C81"/>
    <w:rsid w:val="00F0512B"/>
    <w:rsid w:val="00F06D85"/>
    <w:rsid w:val="00F06EB5"/>
    <w:rsid w:val="00F11274"/>
    <w:rsid w:val="00F1311D"/>
    <w:rsid w:val="00F150B6"/>
    <w:rsid w:val="00F16A38"/>
    <w:rsid w:val="00F20549"/>
    <w:rsid w:val="00F23446"/>
    <w:rsid w:val="00F26A3C"/>
    <w:rsid w:val="00F27288"/>
    <w:rsid w:val="00F32562"/>
    <w:rsid w:val="00F33B87"/>
    <w:rsid w:val="00F34A70"/>
    <w:rsid w:val="00F350CC"/>
    <w:rsid w:val="00F404F7"/>
    <w:rsid w:val="00F43246"/>
    <w:rsid w:val="00F45840"/>
    <w:rsid w:val="00F4617B"/>
    <w:rsid w:val="00F47ACA"/>
    <w:rsid w:val="00F50A4F"/>
    <w:rsid w:val="00F50EA5"/>
    <w:rsid w:val="00F561DE"/>
    <w:rsid w:val="00F61E51"/>
    <w:rsid w:val="00F679CF"/>
    <w:rsid w:val="00F71D5F"/>
    <w:rsid w:val="00F76E23"/>
    <w:rsid w:val="00F81B26"/>
    <w:rsid w:val="00F82340"/>
    <w:rsid w:val="00F84BB4"/>
    <w:rsid w:val="00F85CD9"/>
    <w:rsid w:val="00F8741C"/>
    <w:rsid w:val="00F9424F"/>
    <w:rsid w:val="00F94BD8"/>
    <w:rsid w:val="00F95E6D"/>
    <w:rsid w:val="00FA0E21"/>
    <w:rsid w:val="00FA1A82"/>
    <w:rsid w:val="00FA28CE"/>
    <w:rsid w:val="00FA5213"/>
    <w:rsid w:val="00FB14D4"/>
    <w:rsid w:val="00FB3087"/>
    <w:rsid w:val="00FB441F"/>
    <w:rsid w:val="00FB4E23"/>
    <w:rsid w:val="00FC18FF"/>
    <w:rsid w:val="00FC1D6D"/>
    <w:rsid w:val="00FC7DAE"/>
    <w:rsid w:val="00FC7DEB"/>
    <w:rsid w:val="00FD0510"/>
    <w:rsid w:val="00FD1F97"/>
    <w:rsid w:val="00FD24A1"/>
    <w:rsid w:val="00FD38EC"/>
    <w:rsid w:val="00FD4063"/>
    <w:rsid w:val="00FD6745"/>
    <w:rsid w:val="00FD70F7"/>
    <w:rsid w:val="00FE1864"/>
    <w:rsid w:val="00FE21DD"/>
    <w:rsid w:val="00FE52B5"/>
    <w:rsid w:val="00FF01DE"/>
    <w:rsid w:val="00FF257B"/>
    <w:rsid w:val="00FF2E66"/>
    <w:rsid w:val="00FF404D"/>
    <w:rsid w:val="00FF7A9B"/>
    <w:rsid w:val="00FF7AB8"/>
    <w:rsid w:val="60FC7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0"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semiHidden/>
    <w:unhideWhenUsed/>
    <w:qFormat/>
    <w:uiPriority w:val="99"/>
    <w:pPr>
      <w:jc w:val="left"/>
    </w:pPr>
  </w:style>
  <w:style w:type="paragraph" w:styleId="4">
    <w:name w:val="toc 3"/>
    <w:basedOn w:val="1"/>
    <w:next w:val="1"/>
    <w:unhideWhenUsed/>
    <w:qFormat/>
    <w:uiPriority w:val="39"/>
    <w:pPr>
      <w:widowControl/>
      <w:spacing w:after="100" w:line="276" w:lineRule="auto"/>
      <w:ind w:left="440"/>
      <w:jc w:val="left"/>
    </w:pPr>
    <w:rPr>
      <w:kern w:val="0"/>
      <w:sz w:val="22"/>
    </w:rPr>
  </w:style>
  <w:style w:type="paragraph" w:styleId="5">
    <w:name w:val="Date"/>
    <w:basedOn w:val="1"/>
    <w:next w:val="1"/>
    <w:link w:val="30"/>
    <w:semiHidden/>
    <w:unhideWhenUsed/>
    <w:qFormat/>
    <w:uiPriority w:val="99"/>
    <w:pPr>
      <w:ind w:left="100" w:leftChars="2500"/>
    </w:pPr>
  </w:style>
  <w:style w:type="paragraph" w:styleId="6">
    <w:name w:val="Balloon Text"/>
    <w:basedOn w:val="1"/>
    <w:link w:val="27"/>
    <w:semiHidden/>
    <w:unhideWhenUsed/>
    <w:uiPriority w:val="99"/>
    <w:rPr>
      <w:sz w:val="18"/>
      <w:szCs w:val="18"/>
    </w:rPr>
  </w:style>
  <w:style w:type="paragraph" w:styleId="7">
    <w:name w:val="footer"/>
    <w:basedOn w:val="1"/>
    <w:link w:val="21"/>
    <w:unhideWhenUsed/>
    <w:uiPriority w:val="99"/>
    <w:pPr>
      <w:tabs>
        <w:tab w:val="center" w:pos="4153"/>
        <w:tab w:val="right" w:pos="8306"/>
      </w:tabs>
      <w:snapToGrid w:val="0"/>
      <w:jc w:val="left"/>
    </w:pPr>
    <w:rPr>
      <w:sz w:val="18"/>
      <w:szCs w:val="18"/>
    </w:rPr>
  </w:style>
  <w:style w:type="paragraph" w:styleId="8">
    <w:name w:val="header"/>
    <w:basedOn w:val="1"/>
    <w:link w:val="20"/>
    <w:unhideWhenUsed/>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tabs>
        <w:tab w:val="right" w:leader="dot" w:pos="8296"/>
      </w:tabs>
      <w:jc w:val="left"/>
    </w:pPr>
    <w:rPr>
      <w:rFonts w:ascii="Times New Roman" w:hAnsi="Times New Roman"/>
      <w:b/>
      <w:bCs/>
      <w:kern w:val="0"/>
      <w:sz w:val="22"/>
      <w:szCs w:val="24"/>
    </w:rPr>
  </w:style>
  <w:style w:type="paragraph" w:styleId="10">
    <w:name w:val="footnote text"/>
    <w:basedOn w:val="1"/>
    <w:link w:val="19"/>
    <w:semiHidden/>
    <w:unhideWhenUsed/>
    <w:uiPriority w:val="0"/>
    <w:pPr>
      <w:snapToGrid w:val="0"/>
      <w:jc w:val="left"/>
    </w:pPr>
    <w:rPr>
      <w:rFonts w:ascii="Times New Roman" w:hAnsi="Times New Roman" w:eastAsia="宋体" w:cs="Times New Roman"/>
      <w:sz w:val="18"/>
      <w:szCs w:val="18"/>
    </w:rPr>
  </w:style>
  <w:style w:type="paragraph" w:styleId="11">
    <w:name w:val="toc 2"/>
    <w:basedOn w:val="1"/>
    <w:next w:val="1"/>
    <w:unhideWhenUsed/>
    <w:qFormat/>
    <w:uiPriority w:val="39"/>
    <w:pPr>
      <w:widowControl/>
      <w:tabs>
        <w:tab w:val="right" w:leader="dot" w:pos="8296"/>
      </w:tabs>
      <w:spacing w:after="100" w:line="276" w:lineRule="auto"/>
      <w:ind w:left="220"/>
      <w:jc w:val="left"/>
    </w:pPr>
    <w:rPr>
      <w:rFonts w:ascii="Times New Roman" w:hAnsi="Times New Roman" w:eastAsia="黑体" w:cs="Times New Roman"/>
      <w:b/>
      <w:bCs/>
      <w:kern w:val="0"/>
      <w:sz w:val="22"/>
      <w:szCs w:val="24"/>
    </w:rPr>
  </w:style>
  <w:style w:type="paragraph" w:styleId="12">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3"/>
    <w:next w:val="3"/>
    <w:link w:val="25"/>
    <w:semiHidden/>
    <w:unhideWhenUsed/>
    <w:uiPriority w:val="99"/>
    <w:rPr>
      <w:b/>
      <w:bCs/>
    </w:rPr>
  </w:style>
  <w:style w:type="character" w:styleId="16">
    <w:name w:val="Hyperlink"/>
    <w:basedOn w:val="15"/>
    <w:unhideWhenUsed/>
    <w:uiPriority w:val="99"/>
    <w:rPr>
      <w:color w:val="0563C1" w:themeColor="hyperlink"/>
      <w:u w:val="single"/>
      <w14:textFill>
        <w14:solidFill>
          <w14:schemeClr w14:val="hlink"/>
        </w14:solidFill>
      </w14:textFill>
    </w:rPr>
  </w:style>
  <w:style w:type="character" w:styleId="17">
    <w:name w:val="annotation reference"/>
    <w:basedOn w:val="15"/>
    <w:semiHidden/>
    <w:unhideWhenUsed/>
    <w:qFormat/>
    <w:uiPriority w:val="99"/>
    <w:rPr>
      <w:sz w:val="21"/>
      <w:szCs w:val="21"/>
    </w:rPr>
  </w:style>
  <w:style w:type="character" w:styleId="18">
    <w:name w:val="footnote reference"/>
    <w:basedOn w:val="15"/>
    <w:semiHidden/>
    <w:unhideWhenUsed/>
    <w:uiPriority w:val="0"/>
    <w:rPr>
      <w:vertAlign w:val="superscript"/>
    </w:rPr>
  </w:style>
  <w:style w:type="character" w:customStyle="1" w:styleId="19">
    <w:name w:val="脚注文本 Char"/>
    <w:basedOn w:val="15"/>
    <w:link w:val="10"/>
    <w:semiHidden/>
    <w:uiPriority w:val="0"/>
    <w:rPr>
      <w:rFonts w:ascii="Times New Roman" w:hAnsi="Times New Roman" w:eastAsia="宋体" w:cs="Times New Roman"/>
      <w:sz w:val="18"/>
      <w:szCs w:val="18"/>
    </w:rPr>
  </w:style>
  <w:style w:type="character" w:customStyle="1" w:styleId="20">
    <w:name w:val="页眉 Char"/>
    <w:basedOn w:val="15"/>
    <w:link w:val="8"/>
    <w:uiPriority w:val="99"/>
    <w:rPr>
      <w:sz w:val="18"/>
      <w:szCs w:val="18"/>
    </w:rPr>
  </w:style>
  <w:style w:type="character" w:customStyle="1" w:styleId="21">
    <w:name w:val="页脚 Char"/>
    <w:basedOn w:val="15"/>
    <w:link w:val="7"/>
    <w:qFormat/>
    <w:uiPriority w:val="99"/>
    <w:rPr>
      <w:sz w:val="18"/>
      <w:szCs w:val="18"/>
    </w:rPr>
  </w:style>
  <w:style w:type="paragraph" w:customStyle="1" w:styleId="22">
    <w:name w:val="Char1 Char Char Char"/>
    <w:basedOn w:val="1"/>
    <w:qFormat/>
    <w:uiPriority w:val="0"/>
    <w:rPr>
      <w:rFonts w:ascii="Tahoma" w:hAnsi="Tahoma" w:eastAsia="宋体" w:cs="Times New Roman"/>
      <w:sz w:val="24"/>
      <w:szCs w:val="20"/>
    </w:rPr>
  </w:style>
  <w:style w:type="paragraph" w:styleId="23">
    <w:name w:val="List Paragraph"/>
    <w:basedOn w:val="1"/>
    <w:qFormat/>
    <w:uiPriority w:val="34"/>
    <w:pPr>
      <w:ind w:firstLine="420" w:firstLineChars="200"/>
    </w:pPr>
  </w:style>
  <w:style w:type="character" w:customStyle="1" w:styleId="24">
    <w:name w:val="批注文字 Char"/>
    <w:basedOn w:val="15"/>
    <w:link w:val="3"/>
    <w:semiHidden/>
    <w:qFormat/>
    <w:uiPriority w:val="99"/>
  </w:style>
  <w:style w:type="character" w:customStyle="1" w:styleId="25">
    <w:name w:val="批注主题 Char"/>
    <w:basedOn w:val="24"/>
    <w:link w:val="13"/>
    <w:semiHidden/>
    <w:uiPriority w:val="99"/>
    <w:rPr>
      <w:b/>
      <w:bCs/>
    </w:rPr>
  </w:style>
  <w:style w:type="paragraph" w:customStyle="1" w:styleId="26">
    <w:name w:val="Revision"/>
    <w:hidden/>
    <w:semiHidden/>
    <w:uiPriority w:val="99"/>
    <w:rPr>
      <w:rFonts w:asciiTheme="minorHAnsi" w:hAnsiTheme="minorHAnsi" w:eastAsiaTheme="minorEastAsia" w:cstheme="minorBidi"/>
      <w:kern w:val="2"/>
      <w:sz w:val="21"/>
      <w:szCs w:val="22"/>
      <w:lang w:val="en-US" w:eastAsia="zh-CN" w:bidi="ar-SA"/>
    </w:rPr>
  </w:style>
  <w:style w:type="character" w:customStyle="1" w:styleId="27">
    <w:name w:val="批注框文本 Char"/>
    <w:basedOn w:val="15"/>
    <w:link w:val="6"/>
    <w:semiHidden/>
    <w:uiPriority w:val="99"/>
    <w:rPr>
      <w:sz w:val="18"/>
      <w:szCs w:val="18"/>
    </w:rPr>
  </w:style>
  <w:style w:type="character" w:customStyle="1" w:styleId="28">
    <w:name w:val="标题 1 Char"/>
    <w:basedOn w:val="15"/>
    <w:link w:val="2"/>
    <w:qFormat/>
    <w:uiPriority w:val="9"/>
    <w:rPr>
      <w:b/>
      <w:bCs/>
      <w:kern w:val="44"/>
      <w:sz w:val="44"/>
      <w:szCs w:val="44"/>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F5597" w:themeColor="accent1" w:themeShade="BF"/>
      <w:kern w:val="0"/>
      <w:sz w:val="28"/>
      <w:szCs w:val="28"/>
    </w:rPr>
  </w:style>
  <w:style w:type="character" w:customStyle="1" w:styleId="30">
    <w:name w:val="日期 Char"/>
    <w:basedOn w:val="15"/>
    <w:link w:val="5"/>
    <w:semiHidden/>
    <w:uiPriority w:val="99"/>
  </w:style>
  <w:style w:type="character" w:customStyle="1" w:styleId="31">
    <w:name w:val="Subtle Emphasis"/>
    <w:basedOn w:val="15"/>
    <w:qFormat/>
    <w:uiPriority w:val="19"/>
    <w:rPr>
      <w:i/>
      <w:iCs/>
      <w:color w:val="404040" w:themeColor="text1" w:themeTint="BF"/>
      <w14:textFill>
        <w14:solidFill>
          <w14:schemeClr w14:val="tx1">
            <w14:lumMod w14:val="75000"/>
            <w14:lumOff w14:val="25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20259-8B8D-4D77-9729-3E8CB64E1931}">
  <ds:schemaRefs/>
</ds:datastoreItem>
</file>

<file path=docProps/app.xml><?xml version="1.0" encoding="utf-8"?>
<Properties xmlns="http://schemas.openxmlformats.org/officeDocument/2006/extended-properties" xmlns:vt="http://schemas.openxmlformats.org/officeDocument/2006/docPropsVTypes">
  <Template>Normal</Template>
  <Pages>31</Pages>
  <Words>9032</Words>
  <Characters>11835</Characters>
  <Lines>107</Lines>
  <Paragraphs>30</Paragraphs>
  <TotalTime>8131</TotalTime>
  <ScaleCrop>false</ScaleCrop>
  <LinksUpToDate>false</LinksUpToDate>
  <CharactersWithSpaces>12078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2021-01-15T00:59:00Z</dcterms:created>
  <dc:creator>Administrator</dc:creator>
  <cp:lastModifiedBy>Administrator</cp:lastModifiedBy>
  <cp:lastPrinted>2021-05-24T01:44:00Z</cp:lastPrinted>
  <dcterms:modified xsi:type="dcterms:W3CDTF">2025-08-07T01:18:25Z</dcterms:modified>
  <cp:revision>1040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A0670ADDE3844852BD03D82823639EEB_12</vt:lpwstr>
  </property>
</Properties>
</file>